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57AD9" w14:textId="77777777" w:rsidR="007206FB" w:rsidRPr="00914E8A" w:rsidRDefault="007206FB">
      <w:pPr>
        <w:rPr>
          <w:rFonts w:ascii="Arial" w:hAnsi="Arial" w:cs="Arial"/>
        </w:rPr>
      </w:pPr>
      <w:bookmarkStart w:id="0" w:name="_GoBack"/>
      <w:bookmarkEnd w:id="0"/>
    </w:p>
    <w:p w14:paraId="67DC1708" w14:textId="77777777" w:rsidR="00B65A61" w:rsidRPr="00914E8A" w:rsidRDefault="00B65A61" w:rsidP="00B65A61">
      <w:pPr>
        <w:rPr>
          <w:rFonts w:ascii="Arial" w:hAnsi="Arial" w:cs="Arial"/>
          <w:smallCaps/>
          <w:color w:val="4472C4" w:themeColor="accent1"/>
          <w:sz w:val="44"/>
          <w:szCs w:val="44"/>
          <w:lang w:val="en-US"/>
        </w:rPr>
      </w:pPr>
    </w:p>
    <w:tbl>
      <w:tblPr>
        <w:tblStyle w:val="TableGrid"/>
        <w:tblW w:w="90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532"/>
      </w:tblGrid>
      <w:tr w:rsidR="00B65A61" w:rsidRPr="00914E8A" w14:paraId="15B8160E" w14:textId="77777777" w:rsidTr="00EF58F5">
        <w:trPr>
          <w:trHeight w:val="1218"/>
        </w:trPr>
        <w:tc>
          <w:tcPr>
            <w:tcW w:w="7513" w:type="dxa"/>
          </w:tcPr>
          <w:p w14:paraId="289F526C" w14:textId="04AD1860" w:rsidR="00B65A61" w:rsidRDefault="00B65A61">
            <w:pPr>
              <w:rPr>
                <w:rFonts w:ascii="Arial" w:hAnsi="Arial" w:cs="Arial"/>
                <w:bCs/>
                <w:szCs w:val="24"/>
              </w:rPr>
            </w:pPr>
            <w:r w:rsidRPr="00914E8A">
              <w:rPr>
                <w:rFonts w:ascii="Arial" w:hAnsi="Arial" w:cs="Arial"/>
                <w:b/>
                <w:szCs w:val="24"/>
              </w:rPr>
              <w:t>Re:</w:t>
            </w:r>
            <w:r w:rsidR="00EF58F5">
              <w:rPr>
                <w:rFonts w:ascii="Arial" w:hAnsi="Arial" w:cs="Arial"/>
                <w:b/>
                <w:szCs w:val="24"/>
              </w:rPr>
              <w:t xml:space="preserve"> </w:t>
            </w:r>
            <w:r w:rsidR="003F7F99">
              <w:rPr>
                <w:rFonts w:ascii="Arial" w:hAnsi="Arial" w:cs="Arial"/>
                <w:bCs/>
                <w:szCs w:val="24"/>
              </w:rPr>
              <w:t>Technology and the Rule of Law</w:t>
            </w:r>
            <w:r w:rsidR="00801AAF" w:rsidRPr="00943F3C">
              <w:rPr>
                <w:rFonts w:ascii="Arial" w:hAnsi="Arial" w:cs="Arial"/>
                <w:bCs/>
                <w:szCs w:val="24"/>
              </w:rPr>
              <w:t xml:space="preserve"> – Keynote Address</w:t>
            </w:r>
          </w:p>
          <w:p w14:paraId="0A117349" w14:textId="5A80770F" w:rsidR="00B36773" w:rsidRDefault="00B36773">
            <w:pPr>
              <w:rPr>
                <w:rFonts w:ascii="Arial" w:hAnsi="Arial" w:cs="Arial"/>
                <w:bCs/>
                <w:szCs w:val="24"/>
              </w:rPr>
            </w:pPr>
          </w:p>
          <w:p w14:paraId="0D64557E" w14:textId="5F4DE146" w:rsidR="00B36773" w:rsidRDefault="00B36773">
            <w:pPr>
              <w:rPr>
                <w:rFonts w:ascii="Arial" w:hAnsi="Arial" w:cs="Arial"/>
                <w:bCs/>
                <w:szCs w:val="24"/>
              </w:rPr>
            </w:pPr>
            <w:r>
              <w:rPr>
                <w:rFonts w:ascii="Arial" w:hAnsi="Arial" w:cs="Arial"/>
                <w:b/>
                <w:szCs w:val="24"/>
              </w:rPr>
              <w:t>Speaker:</w:t>
            </w:r>
            <w:r w:rsidR="00427B4E">
              <w:rPr>
                <w:rFonts w:ascii="Arial" w:hAnsi="Arial" w:cs="Arial"/>
                <w:b/>
                <w:szCs w:val="24"/>
              </w:rPr>
              <w:t xml:space="preserve"> </w:t>
            </w:r>
            <w:r w:rsidR="00427B4E">
              <w:rPr>
                <w:rFonts w:ascii="Arial" w:hAnsi="Arial" w:cs="Arial"/>
                <w:bCs/>
                <w:szCs w:val="24"/>
              </w:rPr>
              <w:t>Ms. Justice Leonie Reynolds</w:t>
            </w:r>
          </w:p>
          <w:p w14:paraId="7777C1B0" w14:textId="6FC48D4D" w:rsidR="00AA5F7F" w:rsidRDefault="00AA5F7F">
            <w:pPr>
              <w:rPr>
                <w:rFonts w:ascii="Arial" w:hAnsi="Arial" w:cs="Arial"/>
                <w:bCs/>
                <w:szCs w:val="24"/>
              </w:rPr>
            </w:pPr>
          </w:p>
          <w:p w14:paraId="626DC233" w14:textId="025BD06D" w:rsidR="00AA5F7F" w:rsidRDefault="00AA5F7F">
            <w:pPr>
              <w:rPr>
                <w:rFonts w:ascii="Arial" w:hAnsi="Arial" w:cs="Arial"/>
                <w:bCs/>
                <w:szCs w:val="24"/>
              </w:rPr>
            </w:pPr>
            <w:r>
              <w:rPr>
                <w:rFonts w:ascii="Arial" w:hAnsi="Arial" w:cs="Arial"/>
                <w:b/>
                <w:szCs w:val="24"/>
              </w:rPr>
              <w:t xml:space="preserve">Date: </w:t>
            </w:r>
            <w:r>
              <w:rPr>
                <w:rFonts w:ascii="Arial" w:hAnsi="Arial" w:cs="Arial"/>
                <w:bCs/>
                <w:szCs w:val="24"/>
              </w:rPr>
              <w:t xml:space="preserve">12 Feb </w:t>
            </w:r>
            <w:r w:rsidR="00DA3FA2">
              <w:rPr>
                <w:rFonts w:ascii="Arial" w:hAnsi="Arial" w:cs="Arial"/>
                <w:bCs/>
                <w:szCs w:val="24"/>
              </w:rPr>
              <w:t>2024</w:t>
            </w:r>
          </w:p>
          <w:p w14:paraId="1757A6CA" w14:textId="18A647EA" w:rsidR="00DA3FA2" w:rsidRDefault="00DA3FA2">
            <w:pPr>
              <w:rPr>
                <w:rFonts w:ascii="Arial" w:hAnsi="Arial" w:cs="Arial"/>
                <w:bCs/>
                <w:szCs w:val="24"/>
              </w:rPr>
            </w:pPr>
          </w:p>
          <w:p w14:paraId="3E218CC9" w14:textId="15B3AD45" w:rsidR="00DA3FA2" w:rsidRPr="007C24CA" w:rsidRDefault="00DA3FA2">
            <w:pPr>
              <w:rPr>
                <w:rFonts w:ascii="Arial" w:hAnsi="Arial" w:cs="Arial"/>
                <w:bCs/>
                <w:szCs w:val="24"/>
              </w:rPr>
            </w:pPr>
            <w:r>
              <w:rPr>
                <w:rFonts w:ascii="Arial" w:hAnsi="Arial" w:cs="Arial"/>
                <w:b/>
                <w:szCs w:val="24"/>
              </w:rPr>
              <w:t xml:space="preserve">Location: </w:t>
            </w:r>
            <w:r w:rsidR="007C24CA">
              <w:rPr>
                <w:rFonts w:ascii="Arial" w:hAnsi="Arial" w:cs="Arial"/>
                <w:bCs/>
                <w:szCs w:val="24"/>
              </w:rPr>
              <w:t xml:space="preserve">Technological </w:t>
            </w:r>
            <w:r w:rsidR="00E278FF">
              <w:rPr>
                <w:rFonts w:ascii="Arial" w:hAnsi="Arial" w:cs="Arial"/>
                <w:bCs/>
                <w:szCs w:val="24"/>
              </w:rPr>
              <w:t>University of the Shannon (TUS)</w:t>
            </w:r>
          </w:p>
          <w:p w14:paraId="0E1DFE0E" w14:textId="3DF69BBA" w:rsidR="008040FD" w:rsidRPr="00D41885" w:rsidRDefault="008040FD">
            <w:pPr>
              <w:rPr>
                <w:rFonts w:ascii="Arial" w:hAnsi="Arial" w:cs="Arial"/>
                <w:b/>
                <w:szCs w:val="24"/>
              </w:rPr>
            </w:pPr>
          </w:p>
          <w:p w14:paraId="016C7995" w14:textId="3E356363" w:rsidR="001879E5" w:rsidRPr="00914E8A" w:rsidRDefault="001879E5">
            <w:pPr>
              <w:rPr>
                <w:rFonts w:ascii="Arial" w:hAnsi="Arial" w:cs="Arial"/>
                <w:b/>
                <w:szCs w:val="24"/>
              </w:rPr>
            </w:pPr>
          </w:p>
        </w:tc>
        <w:tc>
          <w:tcPr>
            <w:tcW w:w="1532" w:type="dxa"/>
          </w:tcPr>
          <w:p w14:paraId="248176D2" w14:textId="49041A3E" w:rsidR="00B65A61" w:rsidRPr="00914E8A" w:rsidRDefault="00B65A61">
            <w:pPr>
              <w:rPr>
                <w:rFonts w:ascii="Arial" w:hAnsi="Arial" w:cs="Arial"/>
                <w:szCs w:val="24"/>
              </w:rPr>
            </w:pPr>
          </w:p>
        </w:tc>
      </w:tr>
      <w:tr w:rsidR="00B65A61" w:rsidRPr="00914E8A" w14:paraId="63D5EDAE" w14:textId="77777777" w:rsidTr="00EF58F5">
        <w:trPr>
          <w:trHeight w:val="623"/>
        </w:trPr>
        <w:tc>
          <w:tcPr>
            <w:tcW w:w="7513" w:type="dxa"/>
          </w:tcPr>
          <w:p w14:paraId="5232E0AA" w14:textId="506B5FAC" w:rsidR="00B65A61" w:rsidRPr="00914E8A" w:rsidRDefault="00B65A61">
            <w:pPr>
              <w:rPr>
                <w:rFonts w:ascii="Arial" w:hAnsi="Arial" w:cs="Arial"/>
                <w:b/>
                <w:szCs w:val="24"/>
              </w:rPr>
            </w:pPr>
          </w:p>
        </w:tc>
        <w:tc>
          <w:tcPr>
            <w:tcW w:w="1532" w:type="dxa"/>
          </w:tcPr>
          <w:p w14:paraId="04E1C1D6" w14:textId="3D6F9FBB" w:rsidR="00B65A61" w:rsidRPr="00914E8A" w:rsidRDefault="00B65A61">
            <w:pPr>
              <w:rPr>
                <w:rFonts w:ascii="Arial" w:hAnsi="Arial" w:cs="Arial"/>
                <w:szCs w:val="24"/>
              </w:rPr>
            </w:pPr>
          </w:p>
        </w:tc>
      </w:tr>
      <w:tr w:rsidR="00B65A61" w:rsidRPr="00914E8A" w14:paraId="6EDA55B7" w14:textId="77777777" w:rsidTr="00EF58F5">
        <w:trPr>
          <w:trHeight w:val="609"/>
        </w:trPr>
        <w:tc>
          <w:tcPr>
            <w:tcW w:w="7513" w:type="dxa"/>
          </w:tcPr>
          <w:p w14:paraId="210C1C3B" w14:textId="24C96A4D" w:rsidR="00B65A61" w:rsidRPr="00914E8A" w:rsidRDefault="00B65A61">
            <w:pPr>
              <w:rPr>
                <w:rFonts w:ascii="Arial" w:hAnsi="Arial" w:cs="Arial"/>
                <w:b/>
                <w:szCs w:val="24"/>
              </w:rPr>
            </w:pPr>
          </w:p>
        </w:tc>
        <w:tc>
          <w:tcPr>
            <w:tcW w:w="1532" w:type="dxa"/>
          </w:tcPr>
          <w:p w14:paraId="68A3CC1D" w14:textId="7E4F8F4A" w:rsidR="00B65A61" w:rsidRPr="00914E8A" w:rsidRDefault="00B65A61">
            <w:pPr>
              <w:rPr>
                <w:rFonts w:ascii="Arial" w:hAnsi="Arial" w:cs="Arial"/>
                <w:szCs w:val="24"/>
              </w:rPr>
            </w:pPr>
          </w:p>
        </w:tc>
      </w:tr>
      <w:tr w:rsidR="00B65A61" w:rsidRPr="00914E8A" w14:paraId="6A027758" w14:textId="77777777" w:rsidTr="00EF58F5">
        <w:trPr>
          <w:trHeight w:val="609"/>
        </w:trPr>
        <w:tc>
          <w:tcPr>
            <w:tcW w:w="7513" w:type="dxa"/>
          </w:tcPr>
          <w:p w14:paraId="49173DDF" w14:textId="51E9E277" w:rsidR="00B65A61" w:rsidRPr="00914E8A" w:rsidRDefault="00B65A61">
            <w:pPr>
              <w:rPr>
                <w:rFonts w:ascii="Arial" w:hAnsi="Arial" w:cs="Arial"/>
                <w:b/>
                <w:szCs w:val="24"/>
              </w:rPr>
            </w:pPr>
          </w:p>
        </w:tc>
        <w:tc>
          <w:tcPr>
            <w:tcW w:w="1532" w:type="dxa"/>
          </w:tcPr>
          <w:p w14:paraId="1BAD7F89" w14:textId="283CBBA4" w:rsidR="00B65A61" w:rsidRPr="00914E8A" w:rsidRDefault="00B65A61">
            <w:pPr>
              <w:rPr>
                <w:rFonts w:ascii="Arial" w:hAnsi="Arial" w:cs="Arial"/>
                <w:szCs w:val="24"/>
              </w:rPr>
            </w:pPr>
          </w:p>
        </w:tc>
      </w:tr>
      <w:tr w:rsidR="00B65A61" w:rsidRPr="00914E8A" w14:paraId="1C086DBF" w14:textId="77777777" w:rsidTr="00EF58F5">
        <w:trPr>
          <w:trHeight w:val="609"/>
        </w:trPr>
        <w:tc>
          <w:tcPr>
            <w:tcW w:w="7513" w:type="dxa"/>
          </w:tcPr>
          <w:p w14:paraId="7BA95D3B" w14:textId="7B051764" w:rsidR="00943F3C" w:rsidRPr="00914E8A" w:rsidRDefault="00943F3C">
            <w:pPr>
              <w:rPr>
                <w:rFonts w:ascii="Arial" w:hAnsi="Arial" w:cs="Arial"/>
                <w:b/>
                <w:szCs w:val="24"/>
              </w:rPr>
            </w:pPr>
          </w:p>
        </w:tc>
        <w:tc>
          <w:tcPr>
            <w:tcW w:w="1532" w:type="dxa"/>
          </w:tcPr>
          <w:p w14:paraId="34A43EC2" w14:textId="4D38F93A" w:rsidR="003A0953" w:rsidRPr="00914E8A" w:rsidRDefault="003A0953" w:rsidP="00D95711">
            <w:pPr>
              <w:rPr>
                <w:rFonts w:ascii="Arial" w:hAnsi="Arial" w:cs="Arial"/>
                <w:szCs w:val="24"/>
              </w:rPr>
            </w:pPr>
          </w:p>
        </w:tc>
      </w:tr>
    </w:tbl>
    <w:p w14:paraId="7D6B785C" w14:textId="4B1CD4A1" w:rsidR="002B387C" w:rsidRPr="00D33284" w:rsidRDefault="00E24BC9" w:rsidP="00E34B9F">
      <w:pPr>
        <w:pStyle w:val="KIFtabletext"/>
        <w:rPr>
          <w:rFonts w:ascii="Arial" w:hAnsi="Arial" w:cs="Arial"/>
        </w:rPr>
      </w:pPr>
      <w:r>
        <w:rPr>
          <w:noProof/>
        </w:rPr>
        <mc:AlternateContent>
          <mc:Choice Requires="wps">
            <w:drawing>
              <wp:anchor distT="0" distB="0" distL="114300" distR="114300" simplePos="0" relativeHeight="251668480" behindDoc="0" locked="0" layoutInCell="1" allowOverlap="1" wp14:anchorId="634D2A52" wp14:editId="530A193C">
                <wp:simplePos x="0" y="0"/>
                <wp:positionH relativeFrom="margin">
                  <wp:align>center</wp:align>
                </wp:positionH>
                <wp:positionV relativeFrom="paragraph">
                  <wp:posOffset>297180</wp:posOffset>
                </wp:positionV>
                <wp:extent cx="5648325" cy="19050"/>
                <wp:effectExtent l="0" t="0" r="952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48325" cy="1905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line w14:anchorId="1DA23B47" id="Straight Connector 3" o:spid="_x0000_s1026" style="position:absolute;flip:y;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3.4pt" to="444.7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" strokecolor="#4472c4 [3204]" strokeweight="1.5pt">
                <v:stroke joinstyle="miter"/>
                <o:lock v:ext="edit" shapetype="f"/>
                <w10:wrap anchorx="margin"/>
              </v:line>
            </w:pict>
          </mc:Fallback>
        </mc:AlternateContent>
      </w:r>
    </w:p>
    <w:p w14:paraId="134D0A39" w14:textId="0D8DF564" w:rsidR="00914E8A" w:rsidRPr="00D33284" w:rsidRDefault="00914E8A" w:rsidP="00914E8A"/>
    <w:p w14:paraId="6D507F4B" w14:textId="38F5E8D3" w:rsidR="00B65A61" w:rsidRPr="009B308E" w:rsidRDefault="00060258" w:rsidP="009B308E">
      <w:pPr>
        <w:spacing w:line="360" w:lineRule="auto"/>
        <w:jc w:val="both"/>
        <w:rPr>
          <w:rFonts w:ascii="Arial" w:hAnsi="Arial" w:cs="Arial"/>
          <w:b/>
          <w:bCs/>
        </w:rPr>
      </w:pPr>
      <w:r w:rsidRPr="00D33284">
        <w:rPr>
          <w:rFonts w:ascii="Arial" w:hAnsi="Arial" w:cs="Arial"/>
          <w:b/>
          <w:bCs/>
        </w:rPr>
        <w:t>Introduction</w:t>
      </w:r>
    </w:p>
    <w:p w14:paraId="67E7AEC6" w14:textId="3EBBDBF2" w:rsidR="00761001" w:rsidRPr="009B308E" w:rsidRDefault="004A331C" w:rsidP="006D49BB">
      <w:pPr>
        <w:jc w:val="both"/>
        <w:rPr>
          <w:rFonts w:ascii="Arial" w:hAnsi="Arial" w:cs="Arial"/>
        </w:rPr>
      </w:pPr>
      <w:r w:rsidRPr="00D33284">
        <w:rPr>
          <w:rFonts w:ascii="Arial" w:hAnsi="Arial" w:cs="Arial"/>
        </w:rPr>
        <w:t xml:space="preserve">Technology has altered our society and culture </w:t>
      </w:r>
      <w:r w:rsidR="007F6386" w:rsidRPr="00D33284">
        <w:rPr>
          <w:rFonts w:ascii="Arial" w:hAnsi="Arial" w:cs="Arial"/>
        </w:rPr>
        <w:t>in a profound way</w:t>
      </w:r>
      <w:r w:rsidR="00307B94" w:rsidRPr="00D33284">
        <w:rPr>
          <w:rFonts w:ascii="Arial" w:hAnsi="Arial" w:cs="Arial"/>
        </w:rPr>
        <w:t xml:space="preserve">, radically altering </w:t>
      </w:r>
      <w:r w:rsidR="00883903" w:rsidRPr="00D33284">
        <w:rPr>
          <w:rFonts w:ascii="Arial" w:hAnsi="Arial" w:cs="Arial"/>
        </w:rPr>
        <w:t xml:space="preserve">the way in which we live our lives. </w:t>
      </w:r>
      <w:r w:rsidR="00534FBB" w:rsidRPr="00D33284">
        <w:rPr>
          <w:rFonts w:ascii="Arial" w:hAnsi="Arial" w:cs="Arial"/>
        </w:rPr>
        <w:t xml:space="preserve">The law </w:t>
      </w:r>
      <w:r w:rsidR="00B35587" w:rsidRPr="00D33284">
        <w:rPr>
          <w:rFonts w:ascii="Arial" w:hAnsi="Arial" w:cs="Arial"/>
        </w:rPr>
        <w:t>too has experi</w:t>
      </w:r>
      <w:r w:rsidR="00510F62" w:rsidRPr="00D33284">
        <w:rPr>
          <w:rFonts w:ascii="Arial" w:hAnsi="Arial" w:cs="Arial"/>
        </w:rPr>
        <w:t xml:space="preserve">enced the impact of technology both in the substantive work that lawyers do as well as the mode in which they deliver </w:t>
      </w:r>
      <w:r w:rsidR="00185D76" w:rsidRPr="00D33284">
        <w:rPr>
          <w:rFonts w:ascii="Arial" w:hAnsi="Arial" w:cs="Arial"/>
        </w:rPr>
        <w:t>said work to clients.</w:t>
      </w:r>
      <w:r w:rsidR="00185D76" w:rsidRPr="00D33284">
        <w:rPr>
          <w:rStyle w:val="FootnoteReference"/>
          <w:rFonts w:ascii="Arial" w:hAnsi="Arial" w:cs="Arial"/>
        </w:rPr>
        <w:footnoteReference w:id="1"/>
      </w:r>
      <w:r w:rsidR="00185D76" w:rsidRPr="00D33284">
        <w:rPr>
          <w:rFonts w:ascii="Arial" w:hAnsi="Arial" w:cs="Arial"/>
        </w:rPr>
        <w:t xml:space="preserve"> </w:t>
      </w:r>
      <w:r w:rsidR="008A5AA6" w:rsidRPr="00D33284">
        <w:rPr>
          <w:rFonts w:ascii="Arial" w:hAnsi="Arial" w:cs="Arial"/>
        </w:rPr>
        <w:t xml:space="preserve">Such technology can range from </w:t>
      </w:r>
      <w:r w:rsidR="00D33284" w:rsidRPr="00D33284">
        <w:rPr>
          <w:rFonts w:ascii="Arial" w:hAnsi="Arial" w:cs="Arial"/>
        </w:rPr>
        <w:t>thin</w:t>
      </w:r>
      <w:r w:rsidR="00817CDA">
        <w:rPr>
          <w:rFonts w:ascii="Arial" w:hAnsi="Arial" w:cs="Arial"/>
        </w:rPr>
        <w:t>gs</w:t>
      </w:r>
      <w:r w:rsidR="00D33284" w:rsidRPr="00D33284">
        <w:rPr>
          <w:rFonts w:ascii="Arial" w:hAnsi="Arial" w:cs="Arial"/>
        </w:rPr>
        <w:t xml:space="preserve"> like searchable legal</w:t>
      </w:r>
      <w:r w:rsidR="00817CDA">
        <w:rPr>
          <w:rFonts w:ascii="Arial" w:hAnsi="Arial" w:cs="Arial"/>
        </w:rPr>
        <w:t xml:space="preserve"> research</w:t>
      </w:r>
      <w:r w:rsidR="00D33284" w:rsidRPr="00D33284">
        <w:rPr>
          <w:rFonts w:ascii="Arial" w:hAnsi="Arial" w:cs="Arial"/>
        </w:rPr>
        <w:t xml:space="preserve"> repositories </w:t>
      </w:r>
      <w:r w:rsidR="00817CDA">
        <w:rPr>
          <w:rFonts w:ascii="Arial" w:hAnsi="Arial" w:cs="Arial"/>
        </w:rPr>
        <w:t xml:space="preserve">which we would now consider indispensable to </w:t>
      </w:r>
      <w:r w:rsidR="00312E63">
        <w:rPr>
          <w:rFonts w:ascii="Arial" w:hAnsi="Arial" w:cs="Arial"/>
        </w:rPr>
        <w:t>cutting-edge uses of artificial intelligence</w:t>
      </w:r>
      <w:r w:rsidR="00F514A2">
        <w:rPr>
          <w:rFonts w:ascii="Arial" w:hAnsi="Arial" w:cs="Arial"/>
        </w:rPr>
        <w:t>,</w:t>
      </w:r>
      <w:r w:rsidR="00222CFD">
        <w:rPr>
          <w:rFonts w:ascii="Arial" w:hAnsi="Arial" w:cs="Arial"/>
        </w:rPr>
        <w:t xml:space="preserve"> which push the boundaries of </w:t>
      </w:r>
      <w:r w:rsidR="00684B6C">
        <w:rPr>
          <w:rFonts w:ascii="Arial" w:hAnsi="Arial" w:cs="Arial"/>
        </w:rPr>
        <w:t>what was previously considered possible</w:t>
      </w:r>
      <w:r w:rsidR="00222CFD">
        <w:rPr>
          <w:rFonts w:ascii="Arial" w:hAnsi="Arial" w:cs="Arial"/>
        </w:rPr>
        <w:t xml:space="preserve">. </w:t>
      </w:r>
      <w:r w:rsidR="00CD5ED7">
        <w:rPr>
          <w:rFonts w:ascii="Arial" w:hAnsi="Arial" w:cs="Arial"/>
        </w:rPr>
        <w:t xml:space="preserve">These innovations have brought with them </w:t>
      </w:r>
      <w:r w:rsidR="0008399F">
        <w:rPr>
          <w:rFonts w:ascii="Arial" w:hAnsi="Arial" w:cs="Arial"/>
        </w:rPr>
        <w:t xml:space="preserve">cascading impacts on the nature of the legal profession and on how both lawyers and the courts </w:t>
      </w:r>
      <w:r w:rsidR="00684B6C">
        <w:rPr>
          <w:rFonts w:ascii="Arial" w:hAnsi="Arial" w:cs="Arial"/>
        </w:rPr>
        <w:t xml:space="preserve">deal with cases. </w:t>
      </w:r>
      <w:r w:rsidR="00EA4FD0" w:rsidRPr="00D33284">
        <w:rPr>
          <w:rFonts w:ascii="Arial" w:hAnsi="Arial" w:cs="Arial"/>
        </w:rPr>
        <w:t xml:space="preserve">Advancements in software, internet access, artificial intelligence, and blockchain are reshaping global judicial systems, offering </w:t>
      </w:r>
      <w:r w:rsidR="005D05EB" w:rsidRPr="00D33284">
        <w:rPr>
          <w:rFonts w:ascii="Arial" w:hAnsi="Arial" w:cs="Arial"/>
        </w:rPr>
        <w:t xml:space="preserve">the </w:t>
      </w:r>
      <w:r w:rsidR="00EA4FD0" w:rsidRPr="00D33284">
        <w:rPr>
          <w:rFonts w:ascii="Arial" w:hAnsi="Arial" w:cs="Arial"/>
        </w:rPr>
        <w:t>potential for increased efficiency and effectiveness</w:t>
      </w:r>
      <w:r w:rsidR="005D05EB" w:rsidRPr="00D33284">
        <w:rPr>
          <w:rFonts w:ascii="Arial" w:hAnsi="Arial" w:cs="Arial"/>
        </w:rPr>
        <w:t xml:space="preserve">. </w:t>
      </w:r>
      <w:r w:rsidR="00761001" w:rsidRPr="00D33284">
        <w:rPr>
          <w:rFonts w:ascii="Arial" w:hAnsi="Arial" w:cs="Arial"/>
          <w:szCs w:val="28"/>
        </w:rPr>
        <w:t xml:space="preserve">In this brief address, the aim is to </w:t>
      </w:r>
      <w:r w:rsidR="00E11A4E" w:rsidRPr="00D33284">
        <w:rPr>
          <w:rFonts w:ascii="Arial" w:hAnsi="Arial" w:cs="Arial"/>
          <w:szCs w:val="28"/>
        </w:rPr>
        <w:t>provide a contextual overview of how technology has impacted the courts and administration of justice, explor</w:t>
      </w:r>
      <w:r w:rsidR="005A43CF" w:rsidRPr="00D33284">
        <w:rPr>
          <w:rFonts w:ascii="Arial" w:hAnsi="Arial" w:cs="Arial"/>
          <w:szCs w:val="28"/>
        </w:rPr>
        <w:t>ing</w:t>
      </w:r>
      <w:r w:rsidR="00E11A4E" w:rsidRPr="00D33284">
        <w:rPr>
          <w:rFonts w:ascii="Arial" w:hAnsi="Arial" w:cs="Arial"/>
          <w:szCs w:val="28"/>
        </w:rPr>
        <w:t xml:space="preserve"> what kind of challenge</w:t>
      </w:r>
      <w:r w:rsidR="00656BE3" w:rsidRPr="00D33284">
        <w:rPr>
          <w:rFonts w:ascii="Arial" w:hAnsi="Arial" w:cs="Arial"/>
          <w:szCs w:val="28"/>
        </w:rPr>
        <w:t>s</w:t>
      </w:r>
      <w:r w:rsidR="00E11A4E" w:rsidRPr="00D33284">
        <w:rPr>
          <w:rFonts w:ascii="Arial" w:hAnsi="Arial" w:cs="Arial"/>
          <w:szCs w:val="28"/>
        </w:rPr>
        <w:t xml:space="preserve"> and opportunities are posed by emerging technologies for legal practice and </w:t>
      </w:r>
      <w:r w:rsidR="00F83A89" w:rsidRPr="00D33284">
        <w:rPr>
          <w:rFonts w:ascii="Arial" w:hAnsi="Arial" w:cs="Arial"/>
          <w:szCs w:val="28"/>
        </w:rPr>
        <w:t>practitioners</w:t>
      </w:r>
      <w:r w:rsidR="00E11A4E" w:rsidRPr="00D33284">
        <w:rPr>
          <w:rFonts w:ascii="Arial" w:hAnsi="Arial" w:cs="Arial"/>
          <w:szCs w:val="28"/>
        </w:rPr>
        <w:t xml:space="preserve"> as well as more broadly touch on </w:t>
      </w:r>
      <w:r w:rsidR="00031C9D" w:rsidRPr="00D33284">
        <w:rPr>
          <w:rFonts w:ascii="Arial" w:hAnsi="Arial" w:cs="Arial"/>
          <w:szCs w:val="28"/>
        </w:rPr>
        <w:t xml:space="preserve">the substantive </w:t>
      </w:r>
      <w:r w:rsidR="008A0B06" w:rsidRPr="00D33284">
        <w:rPr>
          <w:rFonts w:ascii="Arial" w:hAnsi="Arial" w:cs="Arial"/>
          <w:szCs w:val="28"/>
        </w:rPr>
        <w:t xml:space="preserve">law and technology issues that </w:t>
      </w:r>
      <w:r w:rsidR="006B6195" w:rsidRPr="00D33284">
        <w:rPr>
          <w:rFonts w:ascii="Arial" w:hAnsi="Arial" w:cs="Arial"/>
          <w:szCs w:val="28"/>
        </w:rPr>
        <w:t>are</w:t>
      </w:r>
      <w:r w:rsidR="00122C87" w:rsidRPr="00D33284">
        <w:rPr>
          <w:rFonts w:ascii="Arial" w:hAnsi="Arial" w:cs="Arial"/>
          <w:szCs w:val="28"/>
        </w:rPr>
        <w:t xml:space="preserve"> imminently approaching </w:t>
      </w:r>
      <w:r w:rsidR="00656BE3" w:rsidRPr="00D33284">
        <w:rPr>
          <w:rFonts w:ascii="Arial" w:hAnsi="Arial" w:cs="Arial"/>
          <w:szCs w:val="28"/>
        </w:rPr>
        <w:t>in the coming years</w:t>
      </w:r>
      <w:r w:rsidR="00122C87" w:rsidRPr="00D33284">
        <w:rPr>
          <w:rFonts w:ascii="Arial" w:hAnsi="Arial" w:cs="Arial"/>
          <w:szCs w:val="28"/>
        </w:rPr>
        <w:t xml:space="preserve">. </w:t>
      </w:r>
    </w:p>
    <w:p w14:paraId="01D613F6" w14:textId="77777777" w:rsidR="00187353" w:rsidRPr="00D33284" w:rsidRDefault="00187353" w:rsidP="006D49BB">
      <w:pPr>
        <w:jc w:val="both"/>
        <w:rPr>
          <w:rFonts w:ascii="Arial" w:hAnsi="Arial" w:cs="Arial"/>
          <w:szCs w:val="28"/>
        </w:rPr>
      </w:pPr>
    </w:p>
    <w:p w14:paraId="01069285" w14:textId="11718557" w:rsidR="00187353" w:rsidRDefault="00656BE3" w:rsidP="00574736">
      <w:pPr>
        <w:jc w:val="both"/>
        <w:rPr>
          <w:rFonts w:ascii="Arial" w:hAnsi="Arial" w:cs="Arial"/>
          <w:szCs w:val="28"/>
        </w:rPr>
      </w:pPr>
      <w:r w:rsidRPr="00D33284">
        <w:rPr>
          <w:rFonts w:ascii="Arial" w:hAnsi="Arial" w:cs="Arial"/>
          <w:szCs w:val="28"/>
        </w:rPr>
        <w:lastRenderedPageBreak/>
        <w:t xml:space="preserve">Beginning first with the administration of justice, </w:t>
      </w:r>
      <w:r w:rsidR="00F7236C" w:rsidRPr="00D33284">
        <w:rPr>
          <w:rFonts w:ascii="Arial" w:hAnsi="Arial" w:cs="Arial"/>
          <w:szCs w:val="28"/>
        </w:rPr>
        <w:t xml:space="preserve">it is clear that technology has ushered in </w:t>
      </w:r>
      <w:r w:rsidR="00A55B0C" w:rsidRPr="00D33284">
        <w:rPr>
          <w:rFonts w:ascii="Arial" w:hAnsi="Arial" w:cs="Arial"/>
          <w:szCs w:val="28"/>
        </w:rPr>
        <w:t>major changes. Prior to the 21</w:t>
      </w:r>
      <w:r w:rsidR="00A55B0C" w:rsidRPr="00D33284">
        <w:rPr>
          <w:rFonts w:ascii="Arial" w:hAnsi="Arial" w:cs="Arial"/>
          <w:szCs w:val="28"/>
          <w:vertAlign w:val="superscript"/>
        </w:rPr>
        <w:t>st</w:t>
      </w:r>
      <w:r w:rsidR="00A55B0C" w:rsidRPr="00D33284">
        <w:rPr>
          <w:rFonts w:ascii="Arial" w:hAnsi="Arial" w:cs="Arial"/>
          <w:szCs w:val="28"/>
        </w:rPr>
        <w:t xml:space="preserve"> century, the Irish courts </w:t>
      </w:r>
      <w:r w:rsidR="00DD626F" w:rsidRPr="00D33284">
        <w:rPr>
          <w:rFonts w:ascii="Arial" w:hAnsi="Arial" w:cs="Arial"/>
          <w:szCs w:val="28"/>
        </w:rPr>
        <w:t>experienced a significant lack of investment with regards to ICT</w:t>
      </w:r>
      <w:r w:rsidR="00D64898" w:rsidRPr="00D33284">
        <w:rPr>
          <w:rFonts w:ascii="Arial" w:hAnsi="Arial" w:cs="Arial"/>
          <w:szCs w:val="28"/>
        </w:rPr>
        <w:t xml:space="preserve">, something which was highlighted by the </w:t>
      </w:r>
      <w:hyperlink r:id="rId8" w:history="1">
        <w:r w:rsidR="00D64898" w:rsidRPr="005F7184">
          <w:rPr>
            <w:rStyle w:val="Hyperlink"/>
            <w:rFonts w:ascii="Arial" w:hAnsi="Arial" w:cs="Arial"/>
            <w:szCs w:val="28"/>
          </w:rPr>
          <w:t>Working Group on the Courts Commission</w:t>
        </w:r>
      </w:hyperlink>
      <w:r w:rsidR="00D64898" w:rsidRPr="00D33284">
        <w:rPr>
          <w:rFonts w:ascii="Arial" w:hAnsi="Arial" w:cs="Arial"/>
          <w:szCs w:val="28"/>
        </w:rPr>
        <w:t xml:space="preserve"> which was active in the late 1990s and whose work would lead to the establishment of the modern Courts Service</w:t>
      </w:r>
      <w:r w:rsidR="00EC3251" w:rsidRPr="00D33284">
        <w:rPr>
          <w:rFonts w:ascii="Arial" w:hAnsi="Arial" w:cs="Arial"/>
          <w:szCs w:val="28"/>
        </w:rPr>
        <w:t>.</w:t>
      </w:r>
      <w:r w:rsidR="00FA3C5D" w:rsidRPr="00D33284">
        <w:rPr>
          <w:rStyle w:val="FootnoteReference"/>
          <w:rFonts w:ascii="Arial" w:hAnsi="Arial" w:cs="Arial"/>
          <w:szCs w:val="28"/>
        </w:rPr>
        <w:footnoteReference w:id="2"/>
      </w:r>
      <w:r w:rsidR="00EC3251" w:rsidRPr="00D33284">
        <w:rPr>
          <w:rFonts w:ascii="Arial" w:hAnsi="Arial" w:cs="Arial"/>
          <w:szCs w:val="28"/>
        </w:rPr>
        <w:t xml:space="preserve"> </w:t>
      </w:r>
      <w:r w:rsidR="00C539C7" w:rsidRPr="00D33284">
        <w:rPr>
          <w:rFonts w:ascii="Arial" w:hAnsi="Arial" w:cs="Arial"/>
          <w:szCs w:val="28"/>
        </w:rPr>
        <w:t xml:space="preserve">The Working Group’s report emphasises the benefits of </w:t>
      </w:r>
      <w:r w:rsidR="00753583" w:rsidRPr="00D33284">
        <w:rPr>
          <w:rFonts w:ascii="Arial" w:hAnsi="Arial" w:cs="Arial"/>
          <w:szCs w:val="28"/>
        </w:rPr>
        <w:t xml:space="preserve">technological modernisation within the courts, </w:t>
      </w:r>
      <w:r w:rsidR="00886946" w:rsidRPr="00D33284">
        <w:rPr>
          <w:rFonts w:ascii="Arial" w:hAnsi="Arial" w:cs="Arial"/>
          <w:szCs w:val="28"/>
        </w:rPr>
        <w:t xml:space="preserve">specifically in regards to the </w:t>
      </w:r>
      <w:r w:rsidR="00297CC7" w:rsidRPr="00D33284">
        <w:rPr>
          <w:rFonts w:ascii="Arial" w:hAnsi="Arial" w:cs="Arial"/>
          <w:szCs w:val="28"/>
        </w:rPr>
        <w:t xml:space="preserve">creation of </w:t>
      </w:r>
      <w:r w:rsidR="00225449" w:rsidRPr="00D33284">
        <w:rPr>
          <w:rFonts w:ascii="Arial" w:hAnsi="Arial" w:cs="Arial"/>
          <w:szCs w:val="28"/>
        </w:rPr>
        <w:t xml:space="preserve">a </w:t>
      </w:r>
      <w:r w:rsidR="00297CC7" w:rsidRPr="00D33284">
        <w:rPr>
          <w:rFonts w:ascii="Arial" w:hAnsi="Arial" w:cs="Arial"/>
          <w:szCs w:val="28"/>
        </w:rPr>
        <w:t xml:space="preserve">digitised and </w:t>
      </w:r>
      <w:r w:rsidR="00225449" w:rsidRPr="00D33284">
        <w:rPr>
          <w:rFonts w:ascii="Arial" w:hAnsi="Arial" w:cs="Arial"/>
          <w:szCs w:val="28"/>
        </w:rPr>
        <w:t>unified case management system.</w:t>
      </w:r>
      <w:r w:rsidR="00225449" w:rsidRPr="00D33284">
        <w:rPr>
          <w:rStyle w:val="FootnoteReference"/>
          <w:rFonts w:ascii="Arial" w:hAnsi="Arial" w:cs="Arial"/>
          <w:szCs w:val="28"/>
        </w:rPr>
        <w:footnoteReference w:id="3"/>
      </w:r>
      <w:r w:rsidR="00BB44A2" w:rsidRPr="00D33284">
        <w:rPr>
          <w:rFonts w:ascii="Arial" w:hAnsi="Arial" w:cs="Arial"/>
          <w:szCs w:val="28"/>
        </w:rPr>
        <w:t xml:space="preserve"> However, there was underinvestment during the 2008 global financial crisis and</w:t>
      </w:r>
      <w:r w:rsidR="00A502A3" w:rsidRPr="00D33284">
        <w:rPr>
          <w:rFonts w:ascii="Arial" w:hAnsi="Arial" w:cs="Arial"/>
          <w:szCs w:val="28"/>
        </w:rPr>
        <w:t xml:space="preserve"> the</w:t>
      </w:r>
      <w:r w:rsidR="00BB44A2" w:rsidRPr="00D33284">
        <w:rPr>
          <w:rFonts w:ascii="Arial" w:hAnsi="Arial" w:cs="Arial"/>
          <w:szCs w:val="28"/>
        </w:rPr>
        <w:t xml:space="preserve"> subsequent</w:t>
      </w:r>
      <w:r w:rsidR="00A502A3" w:rsidRPr="00D33284">
        <w:rPr>
          <w:rFonts w:ascii="Arial" w:hAnsi="Arial" w:cs="Arial"/>
          <w:szCs w:val="28"/>
        </w:rPr>
        <w:t xml:space="preserve"> reduction in</w:t>
      </w:r>
      <w:r w:rsidR="00BB44A2" w:rsidRPr="00D33284">
        <w:rPr>
          <w:rFonts w:ascii="Arial" w:hAnsi="Arial" w:cs="Arial"/>
          <w:szCs w:val="28"/>
        </w:rPr>
        <w:t xml:space="preserve"> public expenditure </w:t>
      </w:r>
      <w:r w:rsidR="00A502A3" w:rsidRPr="00D33284">
        <w:rPr>
          <w:rFonts w:ascii="Arial" w:hAnsi="Arial" w:cs="Arial"/>
          <w:szCs w:val="28"/>
        </w:rPr>
        <w:t>led</w:t>
      </w:r>
      <w:r w:rsidR="00BB44A2" w:rsidRPr="00D33284">
        <w:rPr>
          <w:rFonts w:ascii="Arial" w:hAnsi="Arial" w:cs="Arial"/>
          <w:szCs w:val="28"/>
        </w:rPr>
        <w:t xml:space="preserve"> to</w:t>
      </w:r>
      <w:r w:rsidR="00A502A3" w:rsidRPr="00D33284">
        <w:rPr>
          <w:rFonts w:ascii="Arial" w:hAnsi="Arial" w:cs="Arial"/>
          <w:szCs w:val="28"/>
        </w:rPr>
        <w:t xml:space="preserve"> the re-emergence</w:t>
      </w:r>
      <w:r w:rsidR="00BB44A2" w:rsidRPr="00D33284">
        <w:rPr>
          <w:rFonts w:ascii="Arial" w:hAnsi="Arial" w:cs="Arial"/>
          <w:szCs w:val="28"/>
        </w:rPr>
        <w:t xml:space="preserve"> concerns about the ICT infrastructure by the mid-2010s.</w:t>
      </w:r>
      <w:r w:rsidR="00A502A3" w:rsidRPr="00D33284">
        <w:rPr>
          <w:rStyle w:val="FootnoteReference"/>
          <w:rFonts w:ascii="Arial" w:hAnsi="Arial" w:cs="Arial"/>
          <w:szCs w:val="28"/>
        </w:rPr>
        <w:footnoteReference w:id="4"/>
      </w:r>
      <w:r w:rsidR="00BB44A2" w:rsidRPr="00D33284">
        <w:rPr>
          <w:rFonts w:ascii="Arial" w:hAnsi="Arial" w:cs="Arial"/>
          <w:szCs w:val="28"/>
        </w:rPr>
        <w:t xml:space="preserve"> Recent years have seen substantial efforts to address this, including a €100 million programme announced for the current decade</w:t>
      </w:r>
      <w:r w:rsidR="00DF0056" w:rsidRPr="00D33284">
        <w:rPr>
          <w:rFonts w:ascii="Arial" w:hAnsi="Arial" w:cs="Arial"/>
          <w:szCs w:val="28"/>
        </w:rPr>
        <w:t xml:space="preserve"> which plans to </w:t>
      </w:r>
      <w:r w:rsidR="00967D54" w:rsidRPr="00D33284">
        <w:rPr>
          <w:rFonts w:ascii="Arial" w:hAnsi="Arial" w:cs="Arial"/>
          <w:szCs w:val="28"/>
        </w:rPr>
        <w:t xml:space="preserve">whole-heartedly embrace the digitalisation of law. </w:t>
      </w:r>
    </w:p>
    <w:p w14:paraId="5536DB65" w14:textId="77777777" w:rsidR="00943F3C" w:rsidRPr="00D33284" w:rsidRDefault="00943F3C" w:rsidP="006D49BB">
      <w:pPr>
        <w:jc w:val="both"/>
        <w:rPr>
          <w:rFonts w:ascii="Arial" w:hAnsi="Arial" w:cs="Arial"/>
          <w:szCs w:val="28"/>
        </w:rPr>
      </w:pPr>
    </w:p>
    <w:p w14:paraId="303A1D46" w14:textId="34807567" w:rsidR="000420A6" w:rsidRDefault="005E6586" w:rsidP="006D49BB">
      <w:pPr>
        <w:jc w:val="both"/>
        <w:rPr>
          <w:rFonts w:ascii="Arial" w:hAnsi="Arial" w:cs="Arial"/>
          <w:szCs w:val="28"/>
        </w:rPr>
      </w:pPr>
      <w:r w:rsidRPr="00827575">
        <w:rPr>
          <w:rFonts w:ascii="Arial" w:hAnsi="Arial" w:cs="Arial"/>
          <w:szCs w:val="28"/>
        </w:rPr>
        <w:t xml:space="preserve">The Covid-19 pandemic accelerated the adoption of online court proceedings, promoting a need for retrospective evaluation. </w:t>
      </w:r>
      <w:r w:rsidR="00FF32AC" w:rsidRPr="00827575">
        <w:rPr>
          <w:rFonts w:ascii="Arial" w:hAnsi="Arial" w:cs="Arial"/>
          <w:szCs w:val="28"/>
        </w:rPr>
        <w:t>A</w:t>
      </w:r>
      <w:r w:rsidRPr="00827575">
        <w:rPr>
          <w:rFonts w:ascii="Arial" w:hAnsi="Arial" w:cs="Arial"/>
          <w:szCs w:val="28"/>
        </w:rPr>
        <w:t xml:space="preserve"> “Digital First” approach</w:t>
      </w:r>
      <w:r w:rsidR="00FF32AC" w:rsidRPr="00827575">
        <w:rPr>
          <w:rFonts w:ascii="Arial" w:hAnsi="Arial" w:cs="Arial"/>
          <w:szCs w:val="28"/>
        </w:rPr>
        <w:t xml:space="preserve"> was adopted</w:t>
      </w:r>
      <w:r w:rsidRPr="00827575">
        <w:rPr>
          <w:rFonts w:ascii="Arial" w:hAnsi="Arial" w:cs="Arial"/>
          <w:szCs w:val="28"/>
        </w:rPr>
        <w:t>,</w:t>
      </w:r>
      <w:r w:rsidR="004C27B0" w:rsidRPr="00827575">
        <w:rPr>
          <w:rFonts w:ascii="Arial" w:hAnsi="Arial" w:cs="Arial"/>
          <w:szCs w:val="28"/>
        </w:rPr>
        <w:t xml:space="preserve"> which</w:t>
      </w:r>
      <w:r w:rsidRPr="00827575">
        <w:rPr>
          <w:rFonts w:ascii="Arial" w:hAnsi="Arial" w:cs="Arial"/>
          <w:szCs w:val="28"/>
        </w:rPr>
        <w:t xml:space="preserve"> aims to achieve a modern, user-focused, and digital-first court system by 2030. Progress has already been made with achievements such as modernising application architecture, piloting an online appointment booking system, expanding video courtroom technology, and testing cashless payments.</w:t>
      </w:r>
      <w:r w:rsidR="00827575">
        <w:rPr>
          <w:rStyle w:val="FootnoteReference"/>
          <w:rFonts w:ascii="Arial" w:hAnsi="Arial" w:cs="Arial"/>
          <w:szCs w:val="28"/>
        </w:rPr>
        <w:footnoteReference w:id="5"/>
      </w:r>
      <w:r w:rsidRPr="00827575">
        <w:rPr>
          <w:rFonts w:ascii="Arial" w:hAnsi="Arial" w:cs="Arial"/>
          <w:szCs w:val="28"/>
        </w:rPr>
        <w:t xml:space="preserve"> The Covid-19 pandemic </w:t>
      </w:r>
      <w:r w:rsidR="00135961" w:rsidRPr="00827575">
        <w:rPr>
          <w:rFonts w:ascii="Arial" w:hAnsi="Arial" w:cs="Arial"/>
          <w:szCs w:val="28"/>
        </w:rPr>
        <w:t>led to</w:t>
      </w:r>
      <w:r w:rsidRPr="00827575">
        <w:rPr>
          <w:rFonts w:ascii="Arial" w:hAnsi="Arial" w:cs="Arial"/>
          <w:szCs w:val="28"/>
        </w:rPr>
        <w:t xml:space="preserve"> certain aspects of ICT adoption</w:t>
      </w:r>
      <w:r w:rsidR="00135961" w:rsidRPr="00827575">
        <w:rPr>
          <w:rFonts w:ascii="Arial" w:hAnsi="Arial" w:cs="Arial"/>
          <w:szCs w:val="28"/>
        </w:rPr>
        <w:t xml:space="preserve"> </w:t>
      </w:r>
      <w:r w:rsidR="00943F3C">
        <w:rPr>
          <w:rFonts w:ascii="Arial" w:hAnsi="Arial" w:cs="Arial"/>
          <w:szCs w:val="28"/>
        </w:rPr>
        <w:t xml:space="preserve">to </w:t>
      </w:r>
      <w:r w:rsidR="00135961" w:rsidRPr="00827575">
        <w:rPr>
          <w:rFonts w:ascii="Arial" w:hAnsi="Arial" w:cs="Arial"/>
          <w:szCs w:val="28"/>
        </w:rPr>
        <w:t>be prioritised</w:t>
      </w:r>
      <w:r w:rsidRPr="00827575">
        <w:rPr>
          <w:rFonts w:ascii="Arial" w:hAnsi="Arial" w:cs="Arial"/>
          <w:szCs w:val="28"/>
        </w:rPr>
        <w:t>, particularly the use of video-conferencing and remote hearings</w:t>
      </w:r>
      <w:r w:rsidR="005B7FB1" w:rsidRPr="00827575">
        <w:rPr>
          <w:rFonts w:ascii="Arial" w:hAnsi="Arial" w:cs="Arial"/>
          <w:szCs w:val="28"/>
        </w:rPr>
        <w:t xml:space="preserve">. </w:t>
      </w:r>
      <w:r w:rsidR="002D6AF6" w:rsidRPr="00827575">
        <w:rPr>
          <w:rFonts w:ascii="Arial" w:hAnsi="Arial" w:cs="Arial"/>
          <w:szCs w:val="28"/>
        </w:rPr>
        <w:t>Within the courtrooms themselves, this change is now readily visible</w:t>
      </w:r>
      <w:r w:rsidR="00943F3C">
        <w:rPr>
          <w:rFonts w:ascii="Arial" w:hAnsi="Arial" w:cs="Arial"/>
          <w:szCs w:val="28"/>
        </w:rPr>
        <w:t>,</w:t>
      </w:r>
      <w:r w:rsidR="002D6AF6" w:rsidRPr="00827575">
        <w:rPr>
          <w:rFonts w:ascii="Arial" w:hAnsi="Arial" w:cs="Arial"/>
          <w:szCs w:val="28"/>
        </w:rPr>
        <w:t xml:space="preserve"> and this is reflected by the emerging data. For instance, this is borne out by the figures from the </w:t>
      </w:r>
      <w:hyperlink r:id="rId9" w:anchor="view=fitH" w:history="1">
        <w:r w:rsidR="002D6AF6" w:rsidRPr="005F7184">
          <w:rPr>
            <w:rStyle w:val="Hyperlink"/>
            <w:rFonts w:ascii="Arial" w:hAnsi="Arial" w:cs="Arial"/>
            <w:szCs w:val="28"/>
          </w:rPr>
          <w:t>Courts Service’s 2022 Annual Report,</w:t>
        </w:r>
        <w:r w:rsidR="002D6AF6" w:rsidRPr="00FA7B76">
          <w:rPr>
            <w:rStyle w:val="Hyperlink"/>
            <w:rFonts w:ascii="Arial" w:hAnsi="Arial" w:cs="Arial"/>
            <w:color w:val="auto"/>
            <w:szCs w:val="28"/>
            <w:u w:val="none"/>
            <w:vertAlign w:val="superscript"/>
          </w:rPr>
          <w:footnoteReference w:id="6"/>
        </w:r>
      </w:hyperlink>
      <w:r w:rsidR="002D6AF6" w:rsidRPr="00827575">
        <w:rPr>
          <w:rFonts w:ascii="Arial" w:hAnsi="Arial" w:cs="Arial"/>
          <w:szCs w:val="28"/>
        </w:rPr>
        <w:t xml:space="preserve"> published last year, which highlight, for example, that 34,355 video appearances were made.</w:t>
      </w:r>
      <w:r w:rsidR="002D6AF6" w:rsidRPr="00827575">
        <w:rPr>
          <w:rStyle w:val="FootnoteReference"/>
          <w:rFonts w:ascii="Arial" w:hAnsi="Arial" w:cs="Arial"/>
          <w:szCs w:val="28"/>
        </w:rPr>
        <w:footnoteReference w:id="7"/>
      </w:r>
      <w:r w:rsidR="002D6AF6" w:rsidRPr="00827575">
        <w:rPr>
          <w:rFonts w:ascii="Arial" w:hAnsi="Arial" w:cs="Arial"/>
          <w:szCs w:val="28"/>
        </w:rPr>
        <w:t xml:space="preserve">  This was enabled by the rolling out of video-technology across 120 courtrooms throughout the country.</w:t>
      </w:r>
      <w:r w:rsidR="002D6AF6" w:rsidRPr="00827575">
        <w:rPr>
          <w:rStyle w:val="FootnoteReference"/>
          <w:rFonts w:ascii="Arial" w:hAnsi="Arial" w:cs="Arial"/>
          <w:szCs w:val="28"/>
        </w:rPr>
        <w:footnoteReference w:id="8"/>
      </w:r>
      <w:r w:rsidR="002D6AF6" w:rsidRPr="00827575">
        <w:rPr>
          <w:rFonts w:ascii="Arial" w:hAnsi="Arial" w:cs="Arial"/>
          <w:szCs w:val="28"/>
        </w:rPr>
        <w:t xml:space="preserve">  </w:t>
      </w:r>
      <w:r w:rsidRPr="00827575">
        <w:rPr>
          <w:rFonts w:ascii="Arial" w:hAnsi="Arial" w:cs="Arial"/>
          <w:szCs w:val="28"/>
        </w:rPr>
        <w:t xml:space="preserve">The Courts Services plans to </w:t>
      </w:r>
      <w:r w:rsidR="00FF32AC" w:rsidRPr="00827575">
        <w:rPr>
          <w:rFonts w:ascii="Arial" w:hAnsi="Arial" w:cs="Arial"/>
          <w:szCs w:val="28"/>
        </w:rPr>
        <w:t xml:space="preserve">continue the </w:t>
      </w:r>
      <w:r w:rsidRPr="00827575">
        <w:rPr>
          <w:rFonts w:ascii="Arial" w:hAnsi="Arial" w:cs="Arial"/>
          <w:szCs w:val="28"/>
        </w:rPr>
        <w:t>modernis</w:t>
      </w:r>
      <w:r w:rsidR="00FF32AC" w:rsidRPr="00827575">
        <w:rPr>
          <w:rFonts w:ascii="Arial" w:hAnsi="Arial" w:cs="Arial"/>
          <w:szCs w:val="28"/>
        </w:rPr>
        <w:t>ing of</w:t>
      </w:r>
      <w:r w:rsidRPr="00827575">
        <w:rPr>
          <w:rFonts w:ascii="Arial" w:hAnsi="Arial" w:cs="Arial"/>
          <w:szCs w:val="28"/>
        </w:rPr>
        <w:t xml:space="preserve"> processes and systems as part of its “Modernisation Programme” to 2030, envisioning coherent digital journeys for users. Its “ICT Strategy for 2021-24” focuses on themes such as Court Technology, Unified Case Management Platform, Desktop, and Infrastructure Modernisation, among others. This strategy encompasses 42 significant actions, consolidating ongoing work, integrating internal and external systems, and exploring new technologies like e-signatures, artificial intelligence, and blockchain. While substantial work remains to update the infrastructure, the Courts Service’s ambitions extend to data management. A “Data Strategy 2021-24” has been published, aiming </w:t>
      </w:r>
      <w:r w:rsidRPr="00827575">
        <w:rPr>
          <w:rFonts w:ascii="Arial" w:hAnsi="Arial" w:cs="Arial"/>
          <w:szCs w:val="28"/>
        </w:rPr>
        <w:lastRenderedPageBreak/>
        <w:t>to enhance courts’ data management through 23 actions related to governance, data use, improved processes, and technology. This includes a commitment to developing a Court Service Open Data Portal, offering potential for interesting re-use of court data in the future.</w:t>
      </w:r>
    </w:p>
    <w:p w14:paraId="263AC0E9" w14:textId="77777777" w:rsidR="00943F3C" w:rsidRPr="00827575" w:rsidRDefault="00943F3C" w:rsidP="006D49BB">
      <w:pPr>
        <w:jc w:val="both"/>
        <w:rPr>
          <w:rFonts w:ascii="Arial" w:hAnsi="Arial" w:cs="Arial"/>
          <w:szCs w:val="28"/>
        </w:rPr>
      </w:pPr>
    </w:p>
    <w:p w14:paraId="4FE79B5C" w14:textId="64704281" w:rsidR="000420A6" w:rsidRDefault="00E4322D" w:rsidP="006D49BB">
      <w:pPr>
        <w:jc w:val="both"/>
        <w:rPr>
          <w:rFonts w:ascii="Arial" w:hAnsi="Arial" w:cs="Arial"/>
          <w:szCs w:val="28"/>
        </w:rPr>
      </w:pPr>
      <w:r w:rsidRPr="00D33284">
        <w:rPr>
          <w:rFonts w:ascii="Arial" w:hAnsi="Arial" w:cs="Arial"/>
          <w:szCs w:val="28"/>
        </w:rPr>
        <w:t xml:space="preserve">Technical upgrades are of course not the only way in which technology has changed the courts. </w:t>
      </w:r>
      <w:r w:rsidR="000420A6" w:rsidRPr="00D33284">
        <w:rPr>
          <w:rFonts w:ascii="Arial" w:hAnsi="Arial" w:cs="Arial"/>
          <w:szCs w:val="28"/>
        </w:rPr>
        <w:t>There have also been judicial innovations that have sought to adapt to the changing times. One such instance</w:t>
      </w:r>
      <w:r w:rsidR="00F744C4" w:rsidRPr="00D33284">
        <w:rPr>
          <w:rFonts w:ascii="Arial" w:hAnsi="Arial" w:cs="Arial"/>
          <w:szCs w:val="28"/>
        </w:rPr>
        <w:t xml:space="preserve"> was </w:t>
      </w:r>
      <w:r w:rsidR="00B543E5" w:rsidRPr="00D33284">
        <w:rPr>
          <w:rFonts w:ascii="Arial" w:hAnsi="Arial" w:cs="Arial"/>
          <w:szCs w:val="28"/>
        </w:rPr>
        <w:t>in the</w:t>
      </w:r>
      <w:r w:rsidR="00715A40">
        <w:rPr>
          <w:rFonts w:ascii="Arial" w:hAnsi="Arial" w:cs="Arial"/>
          <w:szCs w:val="28"/>
        </w:rPr>
        <w:t xml:space="preserve"> unreported</w:t>
      </w:r>
      <w:r w:rsidR="00B543E5" w:rsidRPr="00D33284">
        <w:rPr>
          <w:rFonts w:ascii="Arial" w:hAnsi="Arial" w:cs="Arial"/>
          <w:szCs w:val="28"/>
        </w:rPr>
        <w:t xml:space="preserve"> case of </w:t>
      </w:r>
      <w:r w:rsidR="00D16C20" w:rsidRPr="00D33284">
        <w:rPr>
          <w:rFonts w:ascii="Arial" w:hAnsi="Arial" w:cs="Arial"/>
          <w:i/>
          <w:iCs/>
          <w:szCs w:val="28"/>
        </w:rPr>
        <w:t>Daly v</w:t>
      </w:r>
      <w:r w:rsidR="00943F3C">
        <w:rPr>
          <w:rFonts w:ascii="Arial" w:hAnsi="Arial" w:cs="Arial"/>
          <w:i/>
          <w:iCs/>
          <w:szCs w:val="28"/>
        </w:rPr>
        <w:t>.</w:t>
      </w:r>
      <w:r w:rsidR="00D16C20" w:rsidRPr="00D33284">
        <w:rPr>
          <w:rFonts w:ascii="Arial" w:hAnsi="Arial" w:cs="Arial"/>
          <w:i/>
          <w:iCs/>
          <w:szCs w:val="28"/>
        </w:rPr>
        <w:t xml:space="preserve"> Lynch</w:t>
      </w:r>
      <w:r w:rsidR="00D16C20" w:rsidRPr="00D33284">
        <w:rPr>
          <w:rStyle w:val="FootnoteReference"/>
          <w:rFonts w:ascii="Arial" w:hAnsi="Arial" w:cs="Arial"/>
          <w:i/>
          <w:iCs/>
          <w:szCs w:val="28"/>
        </w:rPr>
        <w:footnoteReference w:id="9"/>
      </w:r>
      <w:r w:rsidR="00D16C20" w:rsidRPr="00D33284">
        <w:rPr>
          <w:rFonts w:ascii="Arial" w:hAnsi="Arial" w:cs="Arial"/>
          <w:szCs w:val="28"/>
        </w:rPr>
        <w:t xml:space="preserve"> from 2012 in which Peart J</w:t>
      </w:r>
      <w:r w:rsidR="00943F3C">
        <w:rPr>
          <w:rFonts w:ascii="Arial" w:hAnsi="Arial" w:cs="Arial"/>
          <w:szCs w:val="28"/>
        </w:rPr>
        <w:t>.</w:t>
      </w:r>
      <w:r w:rsidR="00D16C20" w:rsidRPr="00D33284">
        <w:rPr>
          <w:rFonts w:ascii="Arial" w:hAnsi="Arial" w:cs="Arial"/>
          <w:szCs w:val="28"/>
        </w:rPr>
        <w:t xml:space="preserve"> granted </w:t>
      </w:r>
      <w:r w:rsidR="00C05926" w:rsidRPr="00D33284">
        <w:rPr>
          <w:rFonts w:ascii="Arial" w:hAnsi="Arial" w:cs="Arial"/>
          <w:szCs w:val="28"/>
        </w:rPr>
        <w:t>the applicant an order for substitute</w:t>
      </w:r>
      <w:r w:rsidR="00AF6F81" w:rsidRPr="00D33284">
        <w:rPr>
          <w:rFonts w:ascii="Arial" w:hAnsi="Arial" w:cs="Arial"/>
          <w:szCs w:val="28"/>
        </w:rPr>
        <w:t>d</w:t>
      </w:r>
      <w:r w:rsidR="00C05926" w:rsidRPr="00D33284">
        <w:rPr>
          <w:rFonts w:ascii="Arial" w:hAnsi="Arial" w:cs="Arial"/>
          <w:szCs w:val="28"/>
        </w:rPr>
        <w:t xml:space="preserve"> service by way of Facebook Message</w:t>
      </w:r>
      <w:r w:rsidR="00AF6F81" w:rsidRPr="00D33284">
        <w:rPr>
          <w:rFonts w:ascii="Arial" w:hAnsi="Arial" w:cs="Arial"/>
          <w:szCs w:val="28"/>
        </w:rPr>
        <w:t xml:space="preserve"> where the defendant had been unreachable by other methods.</w:t>
      </w:r>
      <w:r w:rsidR="00666FD5" w:rsidRPr="00D33284">
        <w:rPr>
          <w:rFonts w:ascii="Arial" w:hAnsi="Arial" w:cs="Arial"/>
          <w:szCs w:val="28"/>
        </w:rPr>
        <w:t xml:space="preserve"> This innovative approach to the interpretation of </w:t>
      </w:r>
      <w:hyperlink r:id="rId10" w:history="1">
        <w:r w:rsidR="00666FD5" w:rsidRPr="005A7809">
          <w:rPr>
            <w:rStyle w:val="Hyperlink"/>
            <w:rFonts w:ascii="Arial" w:hAnsi="Arial" w:cs="Arial"/>
            <w:szCs w:val="28"/>
          </w:rPr>
          <w:t>Order 10</w:t>
        </w:r>
        <w:r w:rsidR="00633992" w:rsidRPr="005A7809">
          <w:rPr>
            <w:rStyle w:val="Hyperlink"/>
            <w:rFonts w:ascii="Arial" w:hAnsi="Arial" w:cs="Arial"/>
            <w:szCs w:val="28"/>
          </w:rPr>
          <w:t>, Rule 1 of the Rules of the Superior Courts</w:t>
        </w:r>
      </w:hyperlink>
      <w:r w:rsidR="00633992" w:rsidRPr="00D33284">
        <w:rPr>
          <w:rFonts w:ascii="Arial" w:hAnsi="Arial" w:cs="Arial"/>
          <w:szCs w:val="28"/>
        </w:rPr>
        <w:t xml:space="preserve"> </w:t>
      </w:r>
      <w:r w:rsidR="007D63B7" w:rsidRPr="00D33284">
        <w:rPr>
          <w:rFonts w:ascii="Arial" w:hAnsi="Arial" w:cs="Arial"/>
          <w:szCs w:val="28"/>
        </w:rPr>
        <w:t xml:space="preserve">was seen more recently in an application before </w:t>
      </w:r>
      <w:r w:rsidR="00462FC2" w:rsidRPr="00D33284">
        <w:rPr>
          <w:rFonts w:ascii="Arial" w:hAnsi="Arial" w:cs="Arial"/>
          <w:szCs w:val="28"/>
        </w:rPr>
        <w:t>McDermott J</w:t>
      </w:r>
      <w:r w:rsidR="00943F3C">
        <w:rPr>
          <w:rFonts w:ascii="Arial" w:hAnsi="Arial" w:cs="Arial"/>
          <w:szCs w:val="28"/>
        </w:rPr>
        <w:t>.</w:t>
      </w:r>
      <w:r w:rsidR="00462FC2" w:rsidRPr="00D33284">
        <w:rPr>
          <w:rFonts w:ascii="Arial" w:hAnsi="Arial" w:cs="Arial"/>
          <w:szCs w:val="28"/>
        </w:rPr>
        <w:t xml:space="preserve"> </w:t>
      </w:r>
      <w:r w:rsidR="00D647EE" w:rsidRPr="00D33284">
        <w:rPr>
          <w:rFonts w:ascii="Arial" w:hAnsi="Arial" w:cs="Arial"/>
          <w:szCs w:val="28"/>
        </w:rPr>
        <w:t>where he granted substituted service by way of e-mail or any social media account against a number of Russian individuals who would otherwise have been extremely difficult to serve.</w:t>
      </w:r>
      <w:r w:rsidR="00AE61E9" w:rsidRPr="00D33284">
        <w:rPr>
          <w:rStyle w:val="FootnoteReference"/>
          <w:rFonts w:ascii="Arial" w:hAnsi="Arial" w:cs="Arial"/>
          <w:szCs w:val="28"/>
        </w:rPr>
        <w:footnoteReference w:id="10"/>
      </w:r>
      <w:r w:rsidR="00D647EE" w:rsidRPr="00D33284">
        <w:rPr>
          <w:rFonts w:ascii="Arial" w:hAnsi="Arial" w:cs="Arial"/>
          <w:szCs w:val="28"/>
        </w:rPr>
        <w:t xml:space="preserve"> </w:t>
      </w:r>
      <w:r w:rsidR="00CA4F08" w:rsidRPr="00D33284">
        <w:rPr>
          <w:rFonts w:ascii="Arial" w:hAnsi="Arial" w:cs="Arial"/>
          <w:szCs w:val="28"/>
        </w:rPr>
        <w:t xml:space="preserve">Across the Irish sea, the UK High Court has gone so far as to allow substituted </w:t>
      </w:r>
      <w:hyperlink r:id="rId11" w:history="1">
        <w:r w:rsidR="00CA4F08" w:rsidRPr="00715A40">
          <w:rPr>
            <w:rStyle w:val="Hyperlink"/>
            <w:rFonts w:ascii="Arial" w:hAnsi="Arial" w:cs="Arial"/>
            <w:szCs w:val="28"/>
          </w:rPr>
          <w:t>service by way of blockchain</w:t>
        </w:r>
      </w:hyperlink>
      <w:r w:rsidR="003F39B7" w:rsidRPr="00D33284">
        <w:rPr>
          <w:rFonts w:ascii="Arial" w:hAnsi="Arial" w:cs="Arial"/>
          <w:szCs w:val="28"/>
        </w:rPr>
        <w:t xml:space="preserve"> via an NFT of the </w:t>
      </w:r>
      <w:r w:rsidR="005C7372" w:rsidRPr="00D33284">
        <w:rPr>
          <w:rFonts w:ascii="Arial" w:hAnsi="Arial" w:cs="Arial"/>
          <w:szCs w:val="28"/>
        </w:rPr>
        <w:t>proceedings.</w:t>
      </w:r>
      <w:r w:rsidR="005C7372" w:rsidRPr="00D33284">
        <w:rPr>
          <w:rStyle w:val="FootnoteReference"/>
          <w:rFonts w:ascii="Arial" w:hAnsi="Arial" w:cs="Arial"/>
          <w:szCs w:val="28"/>
        </w:rPr>
        <w:footnoteReference w:id="11"/>
      </w:r>
      <w:r w:rsidR="005C7372" w:rsidRPr="00D33284">
        <w:rPr>
          <w:rFonts w:ascii="Arial" w:hAnsi="Arial" w:cs="Arial"/>
          <w:szCs w:val="28"/>
        </w:rPr>
        <w:t xml:space="preserve"> </w:t>
      </w:r>
    </w:p>
    <w:p w14:paraId="492D08AE" w14:textId="2999FD99" w:rsidR="005B4609" w:rsidRDefault="005B4609" w:rsidP="006D49BB">
      <w:pPr>
        <w:jc w:val="both"/>
        <w:rPr>
          <w:rFonts w:ascii="Arial" w:hAnsi="Arial" w:cs="Arial"/>
          <w:szCs w:val="28"/>
        </w:rPr>
      </w:pPr>
    </w:p>
    <w:p w14:paraId="6B166C33" w14:textId="10A5E366" w:rsidR="006137FE" w:rsidRPr="00D33284" w:rsidRDefault="00765A7B" w:rsidP="006D49BB">
      <w:pPr>
        <w:jc w:val="both"/>
        <w:rPr>
          <w:rFonts w:ascii="Arial" w:hAnsi="Arial" w:cs="Arial"/>
          <w:szCs w:val="28"/>
        </w:rPr>
      </w:pPr>
      <w:r w:rsidRPr="005F222D">
        <w:rPr>
          <w:rFonts w:ascii="Arial" w:hAnsi="Arial" w:cs="Arial"/>
          <w:szCs w:val="28"/>
        </w:rPr>
        <w:t xml:space="preserve">Several courts have sought to </w:t>
      </w:r>
      <w:r w:rsidR="003F74BD" w:rsidRPr="005F222D">
        <w:rPr>
          <w:rFonts w:ascii="Arial" w:hAnsi="Arial" w:cs="Arial"/>
          <w:szCs w:val="28"/>
        </w:rPr>
        <w:t xml:space="preserve">leap boldly into the AI space, with </w:t>
      </w:r>
      <w:r w:rsidR="00F74360" w:rsidRPr="005F222D">
        <w:rPr>
          <w:rFonts w:ascii="Arial" w:hAnsi="Arial" w:cs="Arial"/>
          <w:szCs w:val="28"/>
        </w:rPr>
        <w:t>CJEU in particular</w:t>
      </w:r>
      <w:r w:rsidR="007C7B55" w:rsidRPr="005F222D">
        <w:rPr>
          <w:rFonts w:ascii="Arial" w:hAnsi="Arial" w:cs="Arial"/>
          <w:szCs w:val="28"/>
        </w:rPr>
        <w:t xml:space="preserve"> being a leader in the </w:t>
      </w:r>
      <w:r w:rsidR="004E1965" w:rsidRPr="005F222D">
        <w:rPr>
          <w:rFonts w:ascii="Arial" w:hAnsi="Arial" w:cs="Arial"/>
          <w:szCs w:val="28"/>
        </w:rPr>
        <w:t xml:space="preserve">field. In 2019, an innovation lab was </w:t>
      </w:r>
      <w:r w:rsidR="00052768" w:rsidRPr="005F222D">
        <w:rPr>
          <w:rFonts w:ascii="Arial" w:hAnsi="Arial" w:cs="Arial"/>
          <w:szCs w:val="28"/>
        </w:rPr>
        <w:t>established,</w:t>
      </w:r>
      <w:r w:rsidR="004E1965" w:rsidRPr="005F222D">
        <w:rPr>
          <w:rFonts w:ascii="Arial" w:hAnsi="Arial" w:cs="Arial"/>
          <w:szCs w:val="28"/>
        </w:rPr>
        <w:t xml:space="preserve"> and they are exploring, among other things, </w:t>
      </w:r>
      <w:r w:rsidR="00064B2C" w:rsidRPr="005F222D">
        <w:rPr>
          <w:rFonts w:ascii="Arial" w:hAnsi="Arial" w:cs="Arial"/>
          <w:szCs w:val="28"/>
        </w:rPr>
        <w:t>automatic translation of judgments into the official languages, speech-to-text transcription, and the production of subtitles on screen in real-time.</w:t>
      </w:r>
      <w:r w:rsidR="000969C2" w:rsidRPr="005F222D">
        <w:rPr>
          <w:rStyle w:val="FootnoteReference"/>
          <w:rFonts w:ascii="Arial" w:hAnsi="Arial" w:cs="Arial"/>
          <w:szCs w:val="28"/>
        </w:rPr>
        <w:footnoteReference w:id="12"/>
      </w:r>
      <w:r w:rsidR="00064B2C" w:rsidRPr="005F222D">
        <w:rPr>
          <w:rFonts w:ascii="Arial" w:hAnsi="Arial" w:cs="Arial"/>
          <w:szCs w:val="28"/>
        </w:rPr>
        <w:t xml:space="preserve"> Without doubt, these specific kind of developments in respect of translation are interesting for us in Ireland, where </w:t>
      </w:r>
      <w:r w:rsidR="000969C2" w:rsidRPr="005F222D">
        <w:rPr>
          <w:rFonts w:ascii="Arial" w:hAnsi="Arial" w:cs="Arial"/>
          <w:szCs w:val="28"/>
        </w:rPr>
        <w:t xml:space="preserve">access to Irish-language materials has unfortunately been slow to materialise. </w:t>
      </w:r>
      <w:r w:rsidR="00CC2949" w:rsidRPr="005F222D">
        <w:rPr>
          <w:rFonts w:ascii="Arial" w:hAnsi="Arial" w:cs="Arial"/>
          <w:szCs w:val="28"/>
        </w:rPr>
        <w:t xml:space="preserve">The CJEU has also however been keen to approach the issue with caution, </w:t>
      </w:r>
      <w:r w:rsidR="001C36C9" w:rsidRPr="005F222D">
        <w:rPr>
          <w:rFonts w:ascii="Arial" w:hAnsi="Arial" w:cs="Arial"/>
          <w:szCs w:val="28"/>
        </w:rPr>
        <w:t xml:space="preserve">establishing a </w:t>
      </w:r>
      <w:r w:rsidR="00FA1006" w:rsidRPr="005F222D">
        <w:rPr>
          <w:rFonts w:ascii="Arial" w:hAnsi="Arial" w:cs="Arial"/>
          <w:szCs w:val="28"/>
        </w:rPr>
        <w:t xml:space="preserve">governance framework with </w:t>
      </w:r>
      <w:r w:rsidR="002730A7" w:rsidRPr="005F222D">
        <w:rPr>
          <w:rFonts w:ascii="Arial" w:hAnsi="Arial" w:cs="Arial"/>
          <w:szCs w:val="28"/>
        </w:rPr>
        <w:t>oversight coming from an AI Management Board which will seek to monitor the use of AI on an ongoing basis across all areas.</w:t>
      </w:r>
      <w:r w:rsidR="002730A7" w:rsidRPr="005F222D">
        <w:rPr>
          <w:rStyle w:val="FootnoteReference"/>
          <w:rFonts w:ascii="Arial" w:hAnsi="Arial" w:cs="Arial"/>
          <w:szCs w:val="28"/>
        </w:rPr>
        <w:footnoteReference w:id="13"/>
      </w:r>
      <w:r w:rsidR="002730A7" w:rsidRPr="005F222D">
        <w:rPr>
          <w:rFonts w:ascii="Arial" w:hAnsi="Arial" w:cs="Arial"/>
          <w:szCs w:val="28"/>
        </w:rPr>
        <w:t xml:space="preserve"> </w:t>
      </w:r>
      <w:r w:rsidRPr="005F222D">
        <w:rPr>
          <w:rFonts w:ascii="Arial" w:hAnsi="Arial" w:cs="Arial"/>
          <w:szCs w:val="28"/>
        </w:rPr>
        <w:t>AI does offer courts a way to increase the efficiency</w:t>
      </w:r>
      <w:r w:rsidR="003F74BD" w:rsidRPr="005F222D">
        <w:rPr>
          <w:rFonts w:ascii="Arial" w:hAnsi="Arial" w:cs="Arial"/>
          <w:szCs w:val="28"/>
        </w:rPr>
        <w:t xml:space="preserve"> and consistency of judgments</w:t>
      </w:r>
      <w:r w:rsidR="007C7B55" w:rsidRPr="005F222D">
        <w:rPr>
          <w:rFonts w:ascii="Arial" w:hAnsi="Arial" w:cs="Arial"/>
          <w:szCs w:val="28"/>
        </w:rPr>
        <w:t xml:space="preserve">, allowing judges to avoid what </w:t>
      </w:r>
      <w:r w:rsidR="00052768" w:rsidRPr="005F222D">
        <w:rPr>
          <w:rFonts w:ascii="Arial" w:hAnsi="Arial" w:cs="Arial"/>
          <w:szCs w:val="28"/>
        </w:rPr>
        <w:t xml:space="preserve">is termed by scholars as ‘noise’, or put more simply, the </w:t>
      </w:r>
      <w:r w:rsidR="00175B5C" w:rsidRPr="005F222D">
        <w:rPr>
          <w:rFonts w:ascii="Arial" w:hAnsi="Arial" w:cs="Arial"/>
          <w:szCs w:val="28"/>
        </w:rPr>
        <w:t xml:space="preserve">variability </w:t>
      </w:r>
      <w:r w:rsidR="0004565C" w:rsidRPr="005F222D">
        <w:rPr>
          <w:rFonts w:ascii="Arial" w:hAnsi="Arial" w:cs="Arial"/>
          <w:szCs w:val="28"/>
        </w:rPr>
        <w:t>in decision-</w:t>
      </w:r>
      <w:r w:rsidR="0015523B" w:rsidRPr="005F222D">
        <w:rPr>
          <w:rFonts w:ascii="Arial" w:hAnsi="Arial" w:cs="Arial"/>
          <w:szCs w:val="28"/>
        </w:rPr>
        <w:t>making</w:t>
      </w:r>
      <w:r w:rsidR="0004565C" w:rsidRPr="005F222D">
        <w:rPr>
          <w:rFonts w:ascii="Arial" w:hAnsi="Arial" w:cs="Arial"/>
          <w:szCs w:val="28"/>
        </w:rPr>
        <w:t xml:space="preserve"> by human judges.</w:t>
      </w:r>
      <w:r w:rsidR="0004565C" w:rsidRPr="005F222D">
        <w:rPr>
          <w:rStyle w:val="FootnoteReference"/>
          <w:rFonts w:ascii="Arial" w:hAnsi="Arial" w:cs="Arial"/>
          <w:szCs w:val="28"/>
        </w:rPr>
        <w:footnoteReference w:id="14"/>
      </w:r>
      <w:r w:rsidR="009E1CB0" w:rsidRPr="005F222D">
        <w:rPr>
          <w:rFonts w:ascii="Arial" w:hAnsi="Arial" w:cs="Arial"/>
          <w:szCs w:val="28"/>
        </w:rPr>
        <w:t xml:space="preserve"> </w:t>
      </w:r>
      <w:r w:rsidR="006137FE" w:rsidRPr="005F222D">
        <w:rPr>
          <w:rFonts w:ascii="Arial" w:hAnsi="Arial" w:cs="Arial"/>
          <w:szCs w:val="28"/>
        </w:rPr>
        <w:t xml:space="preserve">The values of efficiency are particularly seen where </w:t>
      </w:r>
      <w:r w:rsidR="00220B8E" w:rsidRPr="005F222D">
        <w:rPr>
          <w:rFonts w:ascii="Arial" w:hAnsi="Arial" w:cs="Arial"/>
          <w:szCs w:val="28"/>
        </w:rPr>
        <w:t xml:space="preserve">there are large case backlogs such as in Brazil where it is estimated </w:t>
      </w:r>
      <w:r w:rsidR="003A4F9C" w:rsidRPr="005F222D">
        <w:rPr>
          <w:rFonts w:ascii="Arial" w:hAnsi="Arial" w:cs="Arial"/>
          <w:szCs w:val="28"/>
        </w:rPr>
        <w:t>t</w:t>
      </w:r>
      <w:r w:rsidR="00E326B0" w:rsidRPr="005F222D">
        <w:rPr>
          <w:rFonts w:ascii="Arial" w:hAnsi="Arial" w:cs="Arial"/>
          <w:szCs w:val="28"/>
        </w:rPr>
        <w:t>hat tens of millions of cases await determination.</w:t>
      </w:r>
      <w:r w:rsidR="00E326B0" w:rsidRPr="005F222D">
        <w:rPr>
          <w:rStyle w:val="FootnoteReference"/>
          <w:rFonts w:ascii="Arial" w:hAnsi="Arial" w:cs="Arial"/>
          <w:szCs w:val="28"/>
        </w:rPr>
        <w:footnoteReference w:id="15"/>
      </w:r>
      <w:r w:rsidR="0015523B" w:rsidRPr="005F222D">
        <w:rPr>
          <w:rFonts w:ascii="Arial" w:hAnsi="Arial" w:cs="Arial"/>
          <w:szCs w:val="28"/>
        </w:rPr>
        <w:t xml:space="preserve"> Thus, if AI can provide </w:t>
      </w:r>
      <w:r w:rsidR="00063728" w:rsidRPr="005F222D">
        <w:rPr>
          <w:rFonts w:ascii="Arial" w:hAnsi="Arial" w:cs="Arial"/>
          <w:szCs w:val="28"/>
        </w:rPr>
        <w:t xml:space="preserve">a system capable of delivering accurate, speedy and consistent judgments, there would appear to be a strong incentive in favour of </w:t>
      </w:r>
      <w:r w:rsidR="007132A2" w:rsidRPr="005F222D">
        <w:rPr>
          <w:rFonts w:ascii="Arial" w:hAnsi="Arial" w:cs="Arial"/>
          <w:szCs w:val="28"/>
        </w:rPr>
        <w:t xml:space="preserve">its implementation. Such systems are arguably, for now, </w:t>
      </w:r>
      <w:r w:rsidR="00265B6B" w:rsidRPr="005F222D">
        <w:rPr>
          <w:rFonts w:ascii="Arial" w:hAnsi="Arial" w:cs="Arial"/>
          <w:szCs w:val="28"/>
        </w:rPr>
        <w:t xml:space="preserve">mostly theoretical and AI in the courts mostly appears as a </w:t>
      </w:r>
      <w:r w:rsidR="009E1CB0" w:rsidRPr="005F222D">
        <w:rPr>
          <w:rFonts w:ascii="Arial" w:hAnsi="Arial" w:cs="Arial"/>
          <w:szCs w:val="28"/>
        </w:rPr>
        <w:t>tool rather as a judge.</w:t>
      </w:r>
      <w:r w:rsidR="007B269F">
        <w:rPr>
          <w:rFonts w:ascii="Arial" w:hAnsi="Arial" w:cs="Arial"/>
          <w:szCs w:val="28"/>
        </w:rPr>
        <w:t xml:space="preserve"> </w:t>
      </w:r>
    </w:p>
    <w:p w14:paraId="49DE67C0" w14:textId="77777777" w:rsidR="000420A6" w:rsidRPr="00D33284" w:rsidRDefault="000420A6" w:rsidP="006D49BB">
      <w:pPr>
        <w:jc w:val="both"/>
        <w:rPr>
          <w:rFonts w:ascii="Arial" w:hAnsi="Arial" w:cs="Arial"/>
          <w:szCs w:val="28"/>
        </w:rPr>
      </w:pPr>
    </w:p>
    <w:p w14:paraId="3CA01E7C" w14:textId="0BD8785D" w:rsidR="00A55FA8" w:rsidRPr="00D33284" w:rsidRDefault="009A02DF" w:rsidP="006D49BB">
      <w:pPr>
        <w:jc w:val="both"/>
        <w:rPr>
          <w:rFonts w:ascii="Arial" w:hAnsi="Arial" w:cs="Arial"/>
          <w:szCs w:val="28"/>
        </w:rPr>
      </w:pPr>
      <w:r w:rsidRPr="00D33284">
        <w:rPr>
          <w:rFonts w:ascii="Arial" w:hAnsi="Arial" w:cs="Arial"/>
          <w:szCs w:val="28"/>
        </w:rPr>
        <w:t>Of course,</w:t>
      </w:r>
      <w:r w:rsidR="002A5BD7" w:rsidRPr="00D33284">
        <w:rPr>
          <w:rFonts w:ascii="Arial" w:hAnsi="Arial" w:cs="Arial"/>
          <w:szCs w:val="28"/>
        </w:rPr>
        <w:t xml:space="preserve"> the use of</w:t>
      </w:r>
      <w:r w:rsidRPr="00D33284">
        <w:rPr>
          <w:rFonts w:ascii="Arial" w:hAnsi="Arial" w:cs="Arial"/>
          <w:szCs w:val="28"/>
        </w:rPr>
        <w:t xml:space="preserve"> technology i</w:t>
      </w:r>
      <w:r w:rsidR="00CD4316">
        <w:rPr>
          <w:rFonts w:ascii="Arial" w:hAnsi="Arial" w:cs="Arial"/>
          <w:szCs w:val="28"/>
        </w:rPr>
        <w:t>n</w:t>
      </w:r>
      <w:r w:rsidRPr="00D33284">
        <w:rPr>
          <w:rFonts w:ascii="Arial" w:hAnsi="Arial" w:cs="Arial"/>
          <w:szCs w:val="28"/>
        </w:rPr>
        <w:t xml:space="preserve"> the courtroom has not always proven to </w:t>
      </w:r>
      <w:r w:rsidR="002A5BD7" w:rsidRPr="00D33284">
        <w:rPr>
          <w:rFonts w:ascii="Arial" w:hAnsi="Arial" w:cs="Arial"/>
          <w:szCs w:val="28"/>
        </w:rPr>
        <w:t xml:space="preserve">be positive. </w:t>
      </w:r>
      <w:r w:rsidR="00E324C0">
        <w:rPr>
          <w:rFonts w:ascii="Arial" w:hAnsi="Arial" w:cs="Arial"/>
          <w:szCs w:val="28"/>
        </w:rPr>
        <w:t xml:space="preserve">AI has for example been used in a number of </w:t>
      </w:r>
      <w:r w:rsidR="00FB07AD">
        <w:rPr>
          <w:rFonts w:ascii="Arial" w:hAnsi="Arial" w:cs="Arial"/>
          <w:szCs w:val="28"/>
        </w:rPr>
        <w:t>jurisdictions</w:t>
      </w:r>
      <w:r w:rsidR="00E324C0">
        <w:rPr>
          <w:rFonts w:ascii="Arial" w:hAnsi="Arial" w:cs="Arial"/>
          <w:szCs w:val="28"/>
        </w:rPr>
        <w:t xml:space="preserve"> to </w:t>
      </w:r>
      <w:r w:rsidR="00FB07AD">
        <w:rPr>
          <w:rFonts w:ascii="Arial" w:hAnsi="Arial" w:cs="Arial"/>
          <w:szCs w:val="28"/>
        </w:rPr>
        <w:t>aid judges in decision-</w:t>
      </w:r>
      <w:r w:rsidR="00FB07AD">
        <w:rPr>
          <w:rFonts w:ascii="Arial" w:hAnsi="Arial" w:cs="Arial"/>
          <w:szCs w:val="28"/>
        </w:rPr>
        <w:lastRenderedPageBreak/>
        <w:t>making, for instance in Estonia</w:t>
      </w:r>
      <w:r w:rsidR="005E6A68">
        <w:rPr>
          <w:rStyle w:val="FootnoteReference"/>
          <w:rFonts w:ascii="Arial" w:hAnsi="Arial" w:cs="Arial"/>
          <w:szCs w:val="28"/>
        </w:rPr>
        <w:footnoteReference w:id="16"/>
      </w:r>
      <w:r w:rsidR="00FB07AD">
        <w:rPr>
          <w:rFonts w:ascii="Arial" w:hAnsi="Arial" w:cs="Arial"/>
          <w:szCs w:val="28"/>
        </w:rPr>
        <w:t xml:space="preserve"> and the US.</w:t>
      </w:r>
      <w:r w:rsidR="005E6A68">
        <w:rPr>
          <w:rStyle w:val="FootnoteReference"/>
          <w:rFonts w:ascii="Arial" w:hAnsi="Arial" w:cs="Arial"/>
          <w:szCs w:val="28"/>
        </w:rPr>
        <w:footnoteReference w:id="17"/>
      </w:r>
      <w:r w:rsidR="00FB07AD">
        <w:rPr>
          <w:rFonts w:ascii="Arial" w:hAnsi="Arial" w:cs="Arial"/>
          <w:szCs w:val="28"/>
        </w:rPr>
        <w:t xml:space="preserve"> In the US, there has been a great deal of controversy regarding the use of the COMPAS system in </w:t>
      </w:r>
      <w:r w:rsidR="00AA5026">
        <w:rPr>
          <w:rFonts w:ascii="Arial" w:hAnsi="Arial" w:cs="Arial"/>
          <w:szCs w:val="28"/>
        </w:rPr>
        <w:t xml:space="preserve">sentencing and bail decisions. Much of this criticism centres around the potential for the bias of the </w:t>
      </w:r>
      <w:r w:rsidR="0048768E">
        <w:rPr>
          <w:rFonts w:ascii="Arial" w:hAnsi="Arial" w:cs="Arial"/>
          <w:szCs w:val="28"/>
        </w:rPr>
        <w:t>algorithm in making decision-making based on the training data, leading it to further re-enforce existing inequalities.</w:t>
      </w:r>
      <w:r w:rsidR="006A5A06">
        <w:rPr>
          <w:rStyle w:val="FootnoteReference"/>
          <w:rFonts w:ascii="Arial" w:hAnsi="Arial" w:cs="Arial"/>
          <w:szCs w:val="28"/>
        </w:rPr>
        <w:footnoteReference w:id="18"/>
      </w:r>
      <w:r w:rsidR="005E6586">
        <w:rPr>
          <w:rFonts w:ascii="Arial" w:hAnsi="Arial" w:cs="Arial"/>
          <w:szCs w:val="28"/>
        </w:rPr>
        <w:t xml:space="preserve"> </w:t>
      </w:r>
      <w:r w:rsidR="00E30522" w:rsidRPr="00D33284">
        <w:rPr>
          <w:rFonts w:ascii="Arial" w:hAnsi="Arial" w:cs="Arial"/>
          <w:szCs w:val="28"/>
        </w:rPr>
        <w:t xml:space="preserve">Thus, while </w:t>
      </w:r>
      <w:r w:rsidR="0080467B" w:rsidRPr="00D33284">
        <w:rPr>
          <w:rFonts w:ascii="Arial" w:hAnsi="Arial" w:cs="Arial"/>
          <w:szCs w:val="28"/>
        </w:rPr>
        <w:t xml:space="preserve">algorithmic-assisted decision-making as regards bail and sentencing can provide a degree of transparency as to </w:t>
      </w:r>
      <w:r w:rsidR="008D7B17" w:rsidRPr="00D33284">
        <w:rPr>
          <w:rFonts w:ascii="Arial" w:hAnsi="Arial" w:cs="Arial"/>
          <w:szCs w:val="28"/>
        </w:rPr>
        <w:t>the judicial reasoning</w:t>
      </w:r>
      <w:r w:rsidR="00241DA6" w:rsidRPr="00D33284">
        <w:rPr>
          <w:rFonts w:ascii="Arial" w:hAnsi="Arial" w:cs="Arial"/>
          <w:szCs w:val="28"/>
        </w:rPr>
        <w:t xml:space="preserve"> behind such decisions</w:t>
      </w:r>
      <w:r w:rsidR="008D7B17" w:rsidRPr="00D33284">
        <w:rPr>
          <w:rFonts w:ascii="Arial" w:hAnsi="Arial" w:cs="Arial"/>
          <w:szCs w:val="28"/>
        </w:rPr>
        <w:t xml:space="preserve">, it can also easily lead to </w:t>
      </w:r>
      <w:r w:rsidR="00241DA6" w:rsidRPr="00D33284">
        <w:rPr>
          <w:rFonts w:ascii="Arial" w:hAnsi="Arial" w:cs="Arial"/>
          <w:szCs w:val="28"/>
        </w:rPr>
        <w:t xml:space="preserve">the encoding of bias </w:t>
      </w:r>
      <w:r w:rsidR="003B0485" w:rsidRPr="00D33284">
        <w:rPr>
          <w:rFonts w:ascii="Arial" w:hAnsi="Arial" w:cs="Arial"/>
          <w:szCs w:val="28"/>
        </w:rPr>
        <w:t xml:space="preserve">and unfair outcomes, especially for those most at risk of discrimination. </w:t>
      </w:r>
      <w:r w:rsidR="00052768" w:rsidRPr="009B2AD7">
        <w:rPr>
          <w:rFonts w:ascii="Arial" w:hAnsi="Arial" w:cs="Arial"/>
          <w:szCs w:val="28"/>
        </w:rPr>
        <w:t xml:space="preserve">Furthermore, research points to </w:t>
      </w:r>
      <w:r w:rsidR="00175B5C" w:rsidRPr="009B2AD7">
        <w:rPr>
          <w:rFonts w:ascii="Arial" w:hAnsi="Arial" w:cs="Arial"/>
          <w:szCs w:val="28"/>
        </w:rPr>
        <w:t xml:space="preserve">the value placed upon the process of judicial decision-making as opposed </w:t>
      </w:r>
      <w:r w:rsidR="0004565C" w:rsidRPr="009B2AD7">
        <w:rPr>
          <w:rFonts w:ascii="Arial" w:hAnsi="Arial" w:cs="Arial"/>
          <w:szCs w:val="28"/>
        </w:rPr>
        <w:t xml:space="preserve">to the outcome. </w:t>
      </w:r>
      <w:r w:rsidR="00214EC0" w:rsidRPr="009B2AD7">
        <w:rPr>
          <w:rFonts w:ascii="Arial" w:hAnsi="Arial" w:cs="Arial"/>
          <w:szCs w:val="28"/>
        </w:rPr>
        <w:t>There is a certain level of trust and buy-in to the process of judicial decision-making and the ability of a judge to explain that reasoning, something which cannot accurately or comprehensively be dealt with by an AI system operating off a set of pre-programmed rules. Paradoxically, this would seem to make reasoning more opaque and less satisfactory to courts users. As Tasioulas argues, the process by which judges make decisions is inherently valuable and cannot be replicated, particularly in cases where the application of the rules strictly would result in deeply unfair or inequitable outcomes not to mention a loss of systemic flexibility.</w:t>
      </w:r>
      <w:r w:rsidR="00214EC0" w:rsidRPr="009B2AD7">
        <w:rPr>
          <w:rStyle w:val="FootnoteReference"/>
          <w:rFonts w:ascii="Arial" w:hAnsi="Arial" w:cs="Arial"/>
          <w:szCs w:val="28"/>
        </w:rPr>
        <w:footnoteReference w:id="19"/>
      </w:r>
    </w:p>
    <w:p w14:paraId="4EDEEB08" w14:textId="77777777" w:rsidR="00CF71E4" w:rsidRPr="00D33284" w:rsidRDefault="00CF71E4" w:rsidP="006D49BB">
      <w:pPr>
        <w:jc w:val="both"/>
        <w:rPr>
          <w:rFonts w:ascii="Arial" w:hAnsi="Arial" w:cs="Arial"/>
          <w:szCs w:val="28"/>
        </w:rPr>
      </w:pPr>
    </w:p>
    <w:p w14:paraId="25C88844" w14:textId="329FC81E" w:rsidR="005A1024" w:rsidRDefault="00823183" w:rsidP="006D49BB">
      <w:pPr>
        <w:jc w:val="both"/>
        <w:rPr>
          <w:rFonts w:ascii="Arial" w:hAnsi="Arial" w:cs="Arial"/>
          <w:szCs w:val="28"/>
        </w:rPr>
      </w:pPr>
      <w:r w:rsidRPr="00D33284">
        <w:rPr>
          <w:rFonts w:ascii="Arial" w:hAnsi="Arial" w:cs="Arial"/>
          <w:szCs w:val="28"/>
        </w:rPr>
        <w:t xml:space="preserve">Access to justice </w:t>
      </w:r>
      <w:r w:rsidR="00660400" w:rsidRPr="00D33284">
        <w:rPr>
          <w:rFonts w:ascii="Arial" w:hAnsi="Arial" w:cs="Arial"/>
          <w:szCs w:val="28"/>
        </w:rPr>
        <w:t>is another key element of the overall</w:t>
      </w:r>
      <w:r w:rsidR="00D82263" w:rsidRPr="00D33284">
        <w:rPr>
          <w:rFonts w:ascii="Arial" w:hAnsi="Arial" w:cs="Arial"/>
          <w:szCs w:val="28"/>
        </w:rPr>
        <w:t xml:space="preserve"> nature of the administration of justice. It has been noted in the past that </w:t>
      </w:r>
      <w:r w:rsidR="00381F17" w:rsidRPr="00D33284">
        <w:rPr>
          <w:rFonts w:ascii="Arial" w:hAnsi="Arial" w:cs="Arial"/>
          <w:szCs w:val="28"/>
        </w:rPr>
        <w:t xml:space="preserve">access to justice </w:t>
      </w:r>
      <w:r w:rsidR="004C0967" w:rsidRPr="00D33284">
        <w:rPr>
          <w:rFonts w:ascii="Arial" w:hAnsi="Arial" w:cs="Arial"/>
          <w:szCs w:val="28"/>
        </w:rPr>
        <w:t>in Ireland has been most difficult for those</w:t>
      </w:r>
      <w:r w:rsidR="009808DA">
        <w:rPr>
          <w:rFonts w:ascii="Arial" w:hAnsi="Arial" w:cs="Arial"/>
          <w:szCs w:val="28"/>
        </w:rPr>
        <w:t xml:space="preserve"> from</w:t>
      </w:r>
      <w:r w:rsidR="004C0967" w:rsidRPr="00D33284">
        <w:rPr>
          <w:rFonts w:ascii="Arial" w:hAnsi="Arial" w:cs="Arial"/>
          <w:szCs w:val="28"/>
        </w:rPr>
        <w:t xml:space="preserve"> </w:t>
      </w:r>
      <w:r w:rsidR="009808DA">
        <w:rPr>
          <w:rFonts w:ascii="Arial" w:hAnsi="Arial" w:cs="Arial"/>
          <w:szCs w:val="28"/>
        </w:rPr>
        <w:t>marginalised groups.</w:t>
      </w:r>
      <w:r w:rsidR="009808DA">
        <w:rPr>
          <w:rStyle w:val="FootnoteReference"/>
          <w:rFonts w:ascii="Arial" w:hAnsi="Arial" w:cs="Arial"/>
          <w:szCs w:val="28"/>
        </w:rPr>
        <w:footnoteReference w:id="20"/>
      </w:r>
      <w:r w:rsidR="009808DA">
        <w:rPr>
          <w:rFonts w:ascii="Arial" w:hAnsi="Arial" w:cs="Arial"/>
          <w:szCs w:val="28"/>
        </w:rPr>
        <w:t xml:space="preserve"> </w:t>
      </w:r>
      <w:r w:rsidR="009808DA" w:rsidRPr="009808DA">
        <w:rPr>
          <w:rFonts w:ascii="Arial" w:hAnsi="Arial" w:cs="Arial"/>
          <w:szCs w:val="28"/>
        </w:rPr>
        <w:t>Barriers such as the high cost of litigation, poverty, lack of legal knowledge and scepticism towards the justice system and social norms contribute to the challenges in accessing justice.</w:t>
      </w:r>
      <w:r w:rsidR="0036123F">
        <w:rPr>
          <w:rStyle w:val="FootnoteReference"/>
          <w:rFonts w:ascii="Arial" w:hAnsi="Arial" w:cs="Arial"/>
          <w:szCs w:val="28"/>
        </w:rPr>
        <w:footnoteReference w:id="21"/>
      </w:r>
      <w:r w:rsidR="009808DA" w:rsidRPr="009808DA">
        <w:rPr>
          <w:rFonts w:ascii="Arial" w:hAnsi="Arial" w:cs="Arial"/>
          <w:szCs w:val="28"/>
        </w:rPr>
        <w:t xml:space="preserve"> While technology holds the promise of easing this access, it must be designed with a focus on reliability, reduction of duplication and fragmentation, user-friendly interfaces, compatibility with public computers and cost-effective management.</w:t>
      </w:r>
      <w:r w:rsidR="0036123F">
        <w:rPr>
          <w:rStyle w:val="FootnoteReference"/>
          <w:rFonts w:ascii="Arial" w:hAnsi="Arial" w:cs="Arial"/>
          <w:szCs w:val="28"/>
        </w:rPr>
        <w:footnoteReference w:id="22"/>
      </w:r>
      <w:r w:rsidR="0036123F">
        <w:rPr>
          <w:rFonts w:ascii="Arial" w:hAnsi="Arial" w:cs="Arial"/>
          <w:szCs w:val="28"/>
        </w:rPr>
        <w:t xml:space="preserve"> Great strides have been made towards </w:t>
      </w:r>
      <w:r w:rsidR="00A81321">
        <w:rPr>
          <w:rFonts w:ascii="Arial" w:hAnsi="Arial" w:cs="Arial"/>
          <w:szCs w:val="28"/>
        </w:rPr>
        <w:t>access through the availability of video-conferencing as well as by greater public awareness enabled by technology. I</w:t>
      </w:r>
      <w:r w:rsidR="00A81321" w:rsidRPr="00A81321">
        <w:rPr>
          <w:rFonts w:ascii="Arial" w:hAnsi="Arial" w:cs="Arial"/>
          <w:szCs w:val="28"/>
        </w:rPr>
        <w:t>nnovative usages like the Court Service’s creation of a virtual reality</w:t>
      </w:r>
      <w:r w:rsidR="00CB4F50">
        <w:rPr>
          <w:rFonts w:ascii="Arial" w:hAnsi="Arial" w:cs="Arial"/>
          <w:szCs w:val="28"/>
        </w:rPr>
        <w:t xml:space="preserve"> courtroom simulation can help to make the courts a less intimidating place for service users as well as </w:t>
      </w:r>
      <w:r w:rsidR="0051586B">
        <w:rPr>
          <w:rFonts w:ascii="Arial" w:hAnsi="Arial" w:cs="Arial"/>
          <w:szCs w:val="28"/>
        </w:rPr>
        <w:t>enhance understanding of the legal system among the general populace.</w:t>
      </w:r>
      <w:r w:rsidR="0051586B">
        <w:rPr>
          <w:rStyle w:val="FootnoteReference"/>
          <w:rFonts w:ascii="Arial" w:hAnsi="Arial" w:cs="Arial"/>
          <w:szCs w:val="28"/>
        </w:rPr>
        <w:footnoteReference w:id="23"/>
      </w:r>
      <w:r w:rsidR="0051586B">
        <w:rPr>
          <w:rFonts w:ascii="Arial" w:hAnsi="Arial" w:cs="Arial"/>
          <w:szCs w:val="28"/>
        </w:rPr>
        <w:t xml:space="preserve"> </w:t>
      </w:r>
    </w:p>
    <w:p w14:paraId="5750B865" w14:textId="77777777" w:rsidR="00943F3C" w:rsidRPr="00D33284" w:rsidRDefault="00943F3C" w:rsidP="006D49BB">
      <w:pPr>
        <w:jc w:val="both"/>
        <w:rPr>
          <w:rFonts w:ascii="Arial" w:hAnsi="Arial" w:cs="Arial"/>
          <w:szCs w:val="28"/>
        </w:rPr>
      </w:pPr>
    </w:p>
    <w:p w14:paraId="301AFB62" w14:textId="03C7CDFD" w:rsidR="007D2F10" w:rsidRDefault="0003626D" w:rsidP="006D49BB">
      <w:pPr>
        <w:jc w:val="both"/>
        <w:rPr>
          <w:rFonts w:ascii="Arial" w:hAnsi="Arial" w:cs="Arial"/>
          <w:szCs w:val="28"/>
        </w:rPr>
      </w:pPr>
      <w:r>
        <w:rPr>
          <w:rFonts w:ascii="Arial" w:hAnsi="Arial" w:cs="Arial"/>
          <w:szCs w:val="28"/>
        </w:rPr>
        <w:t xml:space="preserve">Naturally though, questions must be asked as to how these technologies impact and change the business of the courts. </w:t>
      </w:r>
      <w:r w:rsidR="007D2F10" w:rsidRPr="00D33284">
        <w:rPr>
          <w:rFonts w:ascii="Arial" w:hAnsi="Arial" w:cs="Arial"/>
          <w:szCs w:val="28"/>
        </w:rPr>
        <w:t xml:space="preserve">A key concern among members of the judiciary in recent times has been on how </w:t>
      </w:r>
      <w:r w:rsidR="006B6DB8" w:rsidRPr="00D33284">
        <w:rPr>
          <w:rFonts w:ascii="Arial" w:hAnsi="Arial" w:cs="Arial"/>
          <w:szCs w:val="28"/>
        </w:rPr>
        <w:t xml:space="preserve">online proceedings via video-conferencing may interfere with the </w:t>
      </w:r>
      <w:r w:rsidR="004F38B0" w:rsidRPr="00D33284">
        <w:rPr>
          <w:rFonts w:ascii="Arial" w:hAnsi="Arial" w:cs="Arial"/>
          <w:szCs w:val="28"/>
        </w:rPr>
        <w:t>constitutional requirements that justice be carried out in public.</w:t>
      </w:r>
      <w:r w:rsidR="005A1024" w:rsidRPr="00D33284">
        <w:rPr>
          <w:rStyle w:val="FootnoteReference"/>
          <w:rFonts w:ascii="Arial" w:hAnsi="Arial" w:cs="Arial"/>
          <w:szCs w:val="28"/>
        </w:rPr>
        <w:footnoteReference w:id="24"/>
      </w:r>
      <w:r w:rsidR="004F38B0" w:rsidRPr="00D33284">
        <w:rPr>
          <w:rFonts w:ascii="Arial" w:hAnsi="Arial" w:cs="Arial"/>
          <w:szCs w:val="28"/>
        </w:rPr>
        <w:t xml:space="preserve"> </w:t>
      </w:r>
      <w:r w:rsidR="00607BD1" w:rsidRPr="00D33284">
        <w:rPr>
          <w:rFonts w:ascii="Arial" w:hAnsi="Arial" w:cs="Arial"/>
          <w:szCs w:val="28"/>
        </w:rPr>
        <w:t xml:space="preserve">Similarly, access to justice goes beyond physical access to the place where justice is carried out and into the wider ability of the public to </w:t>
      </w:r>
      <w:r w:rsidR="004177BD" w:rsidRPr="00D33284">
        <w:rPr>
          <w:rFonts w:ascii="Arial" w:hAnsi="Arial" w:cs="Arial"/>
          <w:szCs w:val="28"/>
        </w:rPr>
        <w:t xml:space="preserve">understand the legal system and the operation of law in general. </w:t>
      </w:r>
      <w:r w:rsidR="008B4FE4" w:rsidRPr="00D33284">
        <w:rPr>
          <w:rFonts w:ascii="Arial" w:hAnsi="Arial" w:cs="Arial"/>
          <w:szCs w:val="28"/>
        </w:rPr>
        <w:t xml:space="preserve">The greater dissemination of entry-level legal knowledge via the internet is of course to be welcomed, increasing the general public’s access </w:t>
      </w:r>
      <w:r w:rsidR="001E0F35" w:rsidRPr="00D33284">
        <w:rPr>
          <w:rFonts w:ascii="Arial" w:hAnsi="Arial" w:cs="Arial"/>
          <w:szCs w:val="28"/>
        </w:rPr>
        <w:t xml:space="preserve">to </w:t>
      </w:r>
      <w:r w:rsidR="00FC4310" w:rsidRPr="00D33284">
        <w:rPr>
          <w:rFonts w:ascii="Arial" w:hAnsi="Arial" w:cs="Arial"/>
          <w:szCs w:val="28"/>
        </w:rPr>
        <w:t>and understanding of the law</w:t>
      </w:r>
      <w:r w:rsidR="005D30AC" w:rsidRPr="00D33284">
        <w:rPr>
          <w:rFonts w:ascii="Arial" w:hAnsi="Arial" w:cs="Arial"/>
          <w:szCs w:val="28"/>
        </w:rPr>
        <w:t xml:space="preserve">. However, with the increase in information, there has also been a proliferation of </w:t>
      </w:r>
      <w:r w:rsidR="008E2279" w:rsidRPr="00D33284">
        <w:rPr>
          <w:rFonts w:ascii="Arial" w:hAnsi="Arial" w:cs="Arial"/>
          <w:szCs w:val="28"/>
        </w:rPr>
        <w:t>unreliable content</w:t>
      </w:r>
      <w:r w:rsidR="00BC6D7A" w:rsidRPr="00D33284">
        <w:rPr>
          <w:rFonts w:ascii="Arial" w:hAnsi="Arial" w:cs="Arial"/>
          <w:szCs w:val="28"/>
        </w:rPr>
        <w:t xml:space="preserve"> as well as disinformation and fraud.</w:t>
      </w:r>
      <w:r w:rsidR="003A7DC7">
        <w:rPr>
          <w:rStyle w:val="FootnoteReference"/>
          <w:rFonts w:ascii="Arial" w:hAnsi="Arial" w:cs="Arial"/>
          <w:szCs w:val="28"/>
        </w:rPr>
        <w:footnoteReference w:id="25"/>
      </w:r>
      <w:r w:rsidR="00BC6D7A" w:rsidRPr="00D33284">
        <w:rPr>
          <w:rFonts w:ascii="Arial" w:hAnsi="Arial" w:cs="Arial"/>
          <w:szCs w:val="28"/>
        </w:rPr>
        <w:t xml:space="preserve"> </w:t>
      </w:r>
    </w:p>
    <w:p w14:paraId="618C3C32" w14:textId="77777777" w:rsidR="00943F3C" w:rsidRDefault="00943F3C" w:rsidP="006D49BB">
      <w:pPr>
        <w:jc w:val="both"/>
        <w:rPr>
          <w:rFonts w:ascii="Arial" w:hAnsi="Arial" w:cs="Arial"/>
          <w:szCs w:val="28"/>
        </w:rPr>
      </w:pPr>
    </w:p>
    <w:p w14:paraId="72099FAC" w14:textId="1BE421F0" w:rsidR="003E4379" w:rsidRPr="00D33284" w:rsidRDefault="003E4379" w:rsidP="006D49BB">
      <w:pPr>
        <w:jc w:val="both"/>
        <w:rPr>
          <w:rFonts w:ascii="Arial" w:hAnsi="Arial" w:cs="Arial"/>
          <w:szCs w:val="28"/>
        </w:rPr>
      </w:pPr>
      <w:r>
        <w:rPr>
          <w:rFonts w:ascii="Arial" w:hAnsi="Arial" w:cs="Arial"/>
          <w:szCs w:val="28"/>
        </w:rPr>
        <w:t xml:space="preserve">Overall, the modernisation of the courts and the use of technology to increase transparency and awareness are positive steps although it is vital that critical </w:t>
      </w:r>
      <w:r w:rsidR="00701967">
        <w:rPr>
          <w:rFonts w:ascii="Arial" w:hAnsi="Arial" w:cs="Arial"/>
          <w:szCs w:val="28"/>
        </w:rPr>
        <w:t xml:space="preserve">questions be asked in relation to what the impact of technology is, especially when that technology becomes involved with the exercise of judicial functions. </w:t>
      </w:r>
    </w:p>
    <w:p w14:paraId="05A0E92F" w14:textId="77777777" w:rsidR="00761001" w:rsidRPr="00D33284" w:rsidRDefault="00761001" w:rsidP="006D49BB">
      <w:pPr>
        <w:jc w:val="both"/>
        <w:rPr>
          <w:rFonts w:ascii="Arial" w:hAnsi="Arial" w:cs="Arial"/>
          <w:szCs w:val="28"/>
        </w:rPr>
      </w:pPr>
    </w:p>
    <w:p w14:paraId="3F936557" w14:textId="505C3C9F" w:rsidR="009B3DF3" w:rsidRDefault="00E67BFA" w:rsidP="006D49BB">
      <w:pPr>
        <w:jc w:val="both"/>
        <w:rPr>
          <w:rFonts w:ascii="Arial" w:hAnsi="Arial" w:cs="Arial"/>
          <w:szCs w:val="28"/>
        </w:rPr>
      </w:pPr>
      <w:r w:rsidRPr="00D33284">
        <w:rPr>
          <w:rFonts w:ascii="Arial" w:hAnsi="Arial" w:cs="Arial"/>
          <w:szCs w:val="28"/>
        </w:rPr>
        <w:t xml:space="preserve">In legal practice, there has also been a </w:t>
      </w:r>
      <w:r w:rsidR="00D8314B" w:rsidRPr="00D33284">
        <w:rPr>
          <w:rFonts w:ascii="Arial" w:hAnsi="Arial" w:cs="Arial"/>
          <w:szCs w:val="28"/>
        </w:rPr>
        <w:t>large impact</w:t>
      </w:r>
      <w:r w:rsidR="00701967">
        <w:rPr>
          <w:rFonts w:ascii="Arial" w:hAnsi="Arial" w:cs="Arial"/>
          <w:szCs w:val="28"/>
        </w:rPr>
        <w:t xml:space="preserve"> </w:t>
      </w:r>
      <w:r w:rsidR="0087458D">
        <w:rPr>
          <w:rFonts w:ascii="Arial" w:hAnsi="Arial" w:cs="Arial"/>
          <w:szCs w:val="28"/>
        </w:rPr>
        <w:t xml:space="preserve">and it is this aspect of Law Tech that the paper now turns. </w:t>
      </w:r>
      <w:r w:rsidR="002A0ED6" w:rsidRPr="00D33284">
        <w:rPr>
          <w:rFonts w:ascii="Arial" w:hAnsi="Arial" w:cs="Arial"/>
          <w:szCs w:val="28"/>
        </w:rPr>
        <w:t>For example, within the last year we have seen the rise of large language models</w:t>
      </w:r>
      <w:r w:rsidR="00E56DD0" w:rsidRPr="00D33284">
        <w:rPr>
          <w:rFonts w:ascii="Arial" w:hAnsi="Arial" w:cs="Arial"/>
          <w:szCs w:val="28"/>
        </w:rPr>
        <w:t xml:space="preserve"> (‘LLMs’)</w:t>
      </w:r>
      <w:r w:rsidR="002A0ED6" w:rsidRPr="00D33284">
        <w:rPr>
          <w:rFonts w:ascii="Arial" w:hAnsi="Arial" w:cs="Arial"/>
          <w:szCs w:val="28"/>
        </w:rPr>
        <w:t xml:space="preserve"> like Chat</w:t>
      </w:r>
      <w:r w:rsidR="007A70BB" w:rsidRPr="00D33284">
        <w:rPr>
          <w:rFonts w:ascii="Arial" w:hAnsi="Arial" w:cs="Arial"/>
          <w:szCs w:val="28"/>
        </w:rPr>
        <w:t xml:space="preserve"> </w:t>
      </w:r>
      <w:r w:rsidR="002A0ED6" w:rsidRPr="00D33284">
        <w:rPr>
          <w:rFonts w:ascii="Arial" w:hAnsi="Arial" w:cs="Arial"/>
          <w:szCs w:val="28"/>
        </w:rPr>
        <w:t xml:space="preserve">GPT, which not only present a vast array of challenges </w:t>
      </w:r>
      <w:r w:rsidR="00735978" w:rsidRPr="00D33284">
        <w:rPr>
          <w:rFonts w:ascii="Arial" w:hAnsi="Arial" w:cs="Arial"/>
          <w:szCs w:val="28"/>
        </w:rPr>
        <w:t xml:space="preserve">for the </w:t>
      </w:r>
      <w:r w:rsidR="007A70BB" w:rsidRPr="00D33284">
        <w:rPr>
          <w:rFonts w:ascii="Arial" w:hAnsi="Arial" w:cs="Arial"/>
          <w:szCs w:val="28"/>
        </w:rPr>
        <w:t xml:space="preserve">profession </w:t>
      </w:r>
      <w:r w:rsidR="002A0ED6" w:rsidRPr="00D33284">
        <w:rPr>
          <w:rFonts w:ascii="Arial" w:hAnsi="Arial" w:cs="Arial"/>
          <w:szCs w:val="28"/>
        </w:rPr>
        <w:t>but also opportunities</w:t>
      </w:r>
      <w:r w:rsidR="00B73000" w:rsidRPr="00D33284">
        <w:rPr>
          <w:rFonts w:ascii="Arial" w:hAnsi="Arial" w:cs="Arial"/>
          <w:szCs w:val="28"/>
        </w:rPr>
        <w:t xml:space="preserve">. </w:t>
      </w:r>
      <w:r w:rsidR="009269CE" w:rsidRPr="00D33284">
        <w:rPr>
          <w:rFonts w:ascii="Arial" w:hAnsi="Arial" w:cs="Arial"/>
          <w:szCs w:val="28"/>
        </w:rPr>
        <w:t xml:space="preserve">Numerous judges in other jurisdictions have </w:t>
      </w:r>
      <w:r w:rsidR="00110FD5" w:rsidRPr="00D33284">
        <w:rPr>
          <w:rFonts w:ascii="Arial" w:hAnsi="Arial" w:cs="Arial"/>
          <w:szCs w:val="28"/>
        </w:rPr>
        <w:t>publicly claimed use of Chat GPT in the writing of judgments</w:t>
      </w:r>
      <w:r w:rsidR="00110FD5" w:rsidRPr="00D33284">
        <w:rPr>
          <w:rStyle w:val="FootnoteReference"/>
          <w:rFonts w:ascii="Arial" w:hAnsi="Arial" w:cs="Arial"/>
          <w:szCs w:val="28"/>
        </w:rPr>
        <w:footnoteReference w:id="26"/>
      </w:r>
      <w:r w:rsidR="00110FD5" w:rsidRPr="00D33284">
        <w:rPr>
          <w:rFonts w:ascii="Arial" w:hAnsi="Arial" w:cs="Arial"/>
          <w:szCs w:val="28"/>
        </w:rPr>
        <w:t xml:space="preserve"> and </w:t>
      </w:r>
      <w:r w:rsidR="00A06362">
        <w:rPr>
          <w:rFonts w:ascii="Arial" w:hAnsi="Arial" w:cs="Arial"/>
          <w:szCs w:val="28"/>
        </w:rPr>
        <w:t xml:space="preserve">it is likely that more examples will continue to emerge, further complimenting the existing uses of </w:t>
      </w:r>
      <w:r w:rsidR="006E46B8">
        <w:rPr>
          <w:rFonts w:ascii="Arial" w:hAnsi="Arial" w:cs="Arial"/>
          <w:szCs w:val="28"/>
        </w:rPr>
        <w:t xml:space="preserve">AI by the courts as mentioned above. </w:t>
      </w:r>
      <w:r w:rsidR="0076057F" w:rsidRPr="00D33284">
        <w:rPr>
          <w:rFonts w:ascii="Arial" w:hAnsi="Arial" w:cs="Arial"/>
          <w:szCs w:val="28"/>
        </w:rPr>
        <w:t xml:space="preserve">While such </w:t>
      </w:r>
      <w:r w:rsidR="00E56DD0" w:rsidRPr="00D33284">
        <w:rPr>
          <w:rFonts w:ascii="Arial" w:hAnsi="Arial" w:cs="Arial"/>
          <w:szCs w:val="28"/>
        </w:rPr>
        <w:t>LLMs can enable lawyers to research quicker</w:t>
      </w:r>
      <w:r w:rsidR="00B50496" w:rsidRPr="00D33284">
        <w:rPr>
          <w:rFonts w:ascii="Arial" w:hAnsi="Arial" w:cs="Arial"/>
          <w:szCs w:val="28"/>
        </w:rPr>
        <w:t xml:space="preserve"> and</w:t>
      </w:r>
      <w:r w:rsidR="00E56DD0" w:rsidRPr="00D33284">
        <w:rPr>
          <w:rFonts w:ascii="Arial" w:hAnsi="Arial" w:cs="Arial"/>
          <w:szCs w:val="28"/>
        </w:rPr>
        <w:t xml:space="preserve"> analyse vast amounts of data and documents</w:t>
      </w:r>
      <w:r w:rsidR="00B50496" w:rsidRPr="00D33284">
        <w:rPr>
          <w:rFonts w:ascii="Arial" w:hAnsi="Arial" w:cs="Arial"/>
          <w:szCs w:val="28"/>
        </w:rPr>
        <w:t xml:space="preserve">, </w:t>
      </w:r>
      <w:r w:rsidR="0089477A" w:rsidRPr="00D33284">
        <w:rPr>
          <w:rFonts w:ascii="Arial" w:hAnsi="Arial" w:cs="Arial"/>
          <w:szCs w:val="28"/>
        </w:rPr>
        <w:t xml:space="preserve">the quality of outputs can vary wildly. One such instance occurred in the US where an attorney used Chat GPT to cite </w:t>
      </w:r>
      <w:r w:rsidR="00AA1DE7" w:rsidRPr="00D33284">
        <w:rPr>
          <w:rFonts w:ascii="Arial" w:hAnsi="Arial" w:cs="Arial"/>
          <w:szCs w:val="28"/>
        </w:rPr>
        <w:t>non-existent cases, leading to a court-imposed fine.</w:t>
      </w:r>
      <w:r w:rsidR="00FD225C" w:rsidRPr="00D33284">
        <w:rPr>
          <w:rStyle w:val="FootnoteReference"/>
          <w:rFonts w:ascii="Arial" w:hAnsi="Arial" w:cs="Arial"/>
          <w:szCs w:val="28"/>
        </w:rPr>
        <w:footnoteReference w:id="27"/>
      </w:r>
      <w:r w:rsidR="00AA1DE7" w:rsidRPr="00D33284">
        <w:rPr>
          <w:rFonts w:ascii="Arial" w:hAnsi="Arial" w:cs="Arial"/>
          <w:szCs w:val="28"/>
        </w:rPr>
        <w:t xml:space="preserve"> For legal practi</w:t>
      </w:r>
      <w:r w:rsidR="00A5346F" w:rsidRPr="00D33284">
        <w:rPr>
          <w:rFonts w:ascii="Arial" w:hAnsi="Arial" w:cs="Arial"/>
          <w:szCs w:val="28"/>
        </w:rPr>
        <w:t xml:space="preserve">tioners, </w:t>
      </w:r>
      <w:r w:rsidR="00B2476E" w:rsidRPr="00D33284">
        <w:rPr>
          <w:rFonts w:ascii="Arial" w:hAnsi="Arial" w:cs="Arial"/>
          <w:szCs w:val="28"/>
        </w:rPr>
        <w:t xml:space="preserve">the onus thus rests on them to make ethical use of technology </w:t>
      </w:r>
      <w:r w:rsidR="00593370">
        <w:rPr>
          <w:rFonts w:ascii="Arial" w:hAnsi="Arial" w:cs="Arial"/>
          <w:szCs w:val="28"/>
        </w:rPr>
        <w:t xml:space="preserve">and to ensure the quality of the data and whether it can be trusted. </w:t>
      </w:r>
      <w:r w:rsidR="00084B3A">
        <w:rPr>
          <w:rFonts w:ascii="Arial" w:hAnsi="Arial" w:cs="Arial"/>
          <w:szCs w:val="28"/>
        </w:rPr>
        <w:t xml:space="preserve">AI could also be used to </w:t>
      </w:r>
      <w:r w:rsidR="006E46B8">
        <w:rPr>
          <w:rFonts w:ascii="Arial" w:hAnsi="Arial" w:cs="Arial"/>
          <w:szCs w:val="28"/>
        </w:rPr>
        <w:t xml:space="preserve">greatly reduce the tedious work that lawyers may perform like </w:t>
      </w:r>
      <w:r w:rsidR="004E3971">
        <w:rPr>
          <w:rFonts w:ascii="Arial" w:hAnsi="Arial" w:cs="Arial"/>
          <w:szCs w:val="28"/>
        </w:rPr>
        <w:t>document review and proofing, in other words bringing about the ‘demise of drudgework.’</w:t>
      </w:r>
      <w:r w:rsidR="004E3971">
        <w:rPr>
          <w:rStyle w:val="FootnoteReference"/>
          <w:rFonts w:ascii="Arial" w:hAnsi="Arial" w:cs="Arial"/>
          <w:szCs w:val="28"/>
        </w:rPr>
        <w:footnoteReference w:id="28"/>
      </w:r>
      <w:r w:rsidR="002562A2">
        <w:rPr>
          <w:rFonts w:ascii="Arial" w:hAnsi="Arial" w:cs="Arial"/>
          <w:szCs w:val="28"/>
        </w:rPr>
        <w:t xml:space="preserve"> Changes may also be more systemic for the legal profession as a whole. </w:t>
      </w:r>
      <w:r w:rsidR="00BE00E1" w:rsidRPr="00D33284">
        <w:rPr>
          <w:rFonts w:ascii="Arial" w:hAnsi="Arial" w:cs="Arial"/>
          <w:szCs w:val="28"/>
        </w:rPr>
        <w:t xml:space="preserve">Webb for example has </w:t>
      </w:r>
      <w:r w:rsidR="00DB4B38" w:rsidRPr="00D33284">
        <w:rPr>
          <w:rFonts w:ascii="Arial" w:hAnsi="Arial" w:cs="Arial"/>
          <w:szCs w:val="28"/>
        </w:rPr>
        <w:t xml:space="preserve">predicted that the trend of commercialisation and the </w:t>
      </w:r>
      <w:r w:rsidR="00670983" w:rsidRPr="00D33284">
        <w:rPr>
          <w:rFonts w:ascii="Arial" w:hAnsi="Arial" w:cs="Arial"/>
          <w:szCs w:val="28"/>
        </w:rPr>
        <w:t>provision of market-focused legal advice will invariably drive the legal profession more broadly toward</w:t>
      </w:r>
      <w:r w:rsidR="00E6654E" w:rsidRPr="00D33284">
        <w:rPr>
          <w:rFonts w:ascii="Arial" w:hAnsi="Arial" w:cs="Arial"/>
          <w:szCs w:val="28"/>
        </w:rPr>
        <w:t xml:space="preserve">s a model of lawyers being part of a multi-disciplinary consultancy team, with </w:t>
      </w:r>
      <w:r w:rsidR="00536CA4" w:rsidRPr="00D33284">
        <w:rPr>
          <w:rFonts w:ascii="Arial" w:hAnsi="Arial" w:cs="Arial"/>
          <w:szCs w:val="28"/>
        </w:rPr>
        <w:t xml:space="preserve">a subsequent </w:t>
      </w:r>
      <w:r w:rsidR="00F93C3F" w:rsidRPr="00D33284">
        <w:rPr>
          <w:rFonts w:ascii="Arial" w:hAnsi="Arial" w:cs="Arial"/>
          <w:szCs w:val="28"/>
        </w:rPr>
        <w:t>increase in ancillary roles</w:t>
      </w:r>
      <w:r w:rsidR="00F93C3F" w:rsidRPr="00D33284">
        <w:rPr>
          <w:rStyle w:val="FootnoteReference"/>
          <w:rFonts w:ascii="Arial" w:hAnsi="Arial" w:cs="Arial"/>
          <w:szCs w:val="28"/>
        </w:rPr>
        <w:footnoteReference w:id="29"/>
      </w:r>
      <w:r w:rsidR="008348CF" w:rsidRPr="00D33284">
        <w:rPr>
          <w:rFonts w:ascii="Arial" w:hAnsi="Arial" w:cs="Arial"/>
          <w:szCs w:val="28"/>
        </w:rPr>
        <w:t xml:space="preserve"> in a system of co-production.</w:t>
      </w:r>
      <w:r w:rsidR="008348CF" w:rsidRPr="00D33284">
        <w:rPr>
          <w:rStyle w:val="FootnoteReference"/>
          <w:rFonts w:ascii="Arial" w:hAnsi="Arial" w:cs="Arial"/>
          <w:szCs w:val="28"/>
        </w:rPr>
        <w:footnoteReference w:id="30"/>
      </w:r>
      <w:r w:rsidR="00F93C3F" w:rsidRPr="00D33284">
        <w:rPr>
          <w:rFonts w:ascii="Arial" w:hAnsi="Arial" w:cs="Arial"/>
          <w:szCs w:val="28"/>
        </w:rPr>
        <w:t xml:space="preserve"> To a certain extent, this has already begun to play out </w:t>
      </w:r>
      <w:r w:rsidR="003B02C5" w:rsidRPr="00D33284">
        <w:rPr>
          <w:rFonts w:ascii="Arial" w:hAnsi="Arial" w:cs="Arial"/>
          <w:szCs w:val="28"/>
        </w:rPr>
        <w:t>in practice, with positions like knowledge managers, legal project managers</w:t>
      </w:r>
      <w:r w:rsidR="0031233B" w:rsidRPr="00D33284">
        <w:rPr>
          <w:rFonts w:ascii="Arial" w:hAnsi="Arial" w:cs="Arial"/>
          <w:szCs w:val="28"/>
        </w:rPr>
        <w:t xml:space="preserve"> and other non-traditional roles.</w:t>
      </w:r>
      <w:r w:rsidR="00962C48" w:rsidRPr="00D33284">
        <w:rPr>
          <w:rStyle w:val="FootnoteReference"/>
          <w:rFonts w:ascii="Arial" w:hAnsi="Arial" w:cs="Arial"/>
          <w:szCs w:val="28"/>
        </w:rPr>
        <w:footnoteReference w:id="31"/>
      </w:r>
      <w:r w:rsidR="00ED7EA1">
        <w:rPr>
          <w:rFonts w:ascii="Arial" w:hAnsi="Arial" w:cs="Arial"/>
          <w:szCs w:val="28"/>
        </w:rPr>
        <w:t xml:space="preserve"> There </w:t>
      </w:r>
      <w:r w:rsidR="002562A2">
        <w:rPr>
          <w:rFonts w:ascii="Arial" w:hAnsi="Arial" w:cs="Arial"/>
          <w:szCs w:val="28"/>
        </w:rPr>
        <w:t>could also be risks emerging from this</w:t>
      </w:r>
      <w:r w:rsidR="00514A06">
        <w:rPr>
          <w:rFonts w:ascii="Arial" w:hAnsi="Arial" w:cs="Arial"/>
          <w:szCs w:val="28"/>
        </w:rPr>
        <w:t>, in particular the problematic and murky area of services offering informal or pseudo-legal advice</w:t>
      </w:r>
      <w:r w:rsidR="003E2CFB">
        <w:rPr>
          <w:rFonts w:ascii="Arial" w:hAnsi="Arial" w:cs="Arial"/>
          <w:szCs w:val="28"/>
        </w:rPr>
        <w:t>.</w:t>
      </w:r>
      <w:r w:rsidR="003E2CFB">
        <w:rPr>
          <w:rStyle w:val="FootnoteReference"/>
          <w:rFonts w:ascii="Arial" w:hAnsi="Arial" w:cs="Arial"/>
          <w:szCs w:val="28"/>
        </w:rPr>
        <w:footnoteReference w:id="32"/>
      </w:r>
      <w:r w:rsidR="00B065BE">
        <w:rPr>
          <w:rFonts w:ascii="Arial" w:hAnsi="Arial" w:cs="Arial"/>
          <w:szCs w:val="28"/>
        </w:rPr>
        <w:t xml:space="preserve"> </w:t>
      </w:r>
      <w:r w:rsidR="00733F00">
        <w:rPr>
          <w:rFonts w:ascii="Arial" w:hAnsi="Arial" w:cs="Arial"/>
          <w:szCs w:val="28"/>
        </w:rPr>
        <w:t>While there has previously been some</w:t>
      </w:r>
      <w:r w:rsidR="009E188D">
        <w:rPr>
          <w:rFonts w:ascii="Arial" w:hAnsi="Arial" w:cs="Arial"/>
          <w:szCs w:val="28"/>
        </w:rPr>
        <w:t xml:space="preserve"> alarmist rhetoric about the replacement of judges and lawyers with robots, the academic literature is more scep</w:t>
      </w:r>
      <w:r w:rsidR="002053CC">
        <w:rPr>
          <w:rFonts w:ascii="Arial" w:hAnsi="Arial" w:cs="Arial"/>
          <w:szCs w:val="28"/>
        </w:rPr>
        <w:t>tical, highlighting the difficulty of such types of automation</w:t>
      </w:r>
      <w:r w:rsidR="008E4930">
        <w:rPr>
          <w:rFonts w:ascii="Arial" w:hAnsi="Arial" w:cs="Arial"/>
          <w:szCs w:val="28"/>
        </w:rPr>
        <w:t>.</w:t>
      </w:r>
      <w:r w:rsidR="008E4930">
        <w:rPr>
          <w:rStyle w:val="FootnoteReference"/>
          <w:rFonts w:ascii="Arial" w:hAnsi="Arial" w:cs="Arial"/>
          <w:szCs w:val="28"/>
        </w:rPr>
        <w:footnoteReference w:id="33"/>
      </w:r>
      <w:r w:rsidR="00B126A5">
        <w:rPr>
          <w:rFonts w:ascii="Arial" w:hAnsi="Arial" w:cs="Arial"/>
          <w:szCs w:val="28"/>
        </w:rPr>
        <w:t xml:space="preserve"> </w:t>
      </w:r>
      <w:r w:rsidR="00E25CFA">
        <w:rPr>
          <w:rFonts w:ascii="Arial" w:hAnsi="Arial" w:cs="Arial"/>
          <w:szCs w:val="28"/>
        </w:rPr>
        <w:t>Indeed, even in Ireland, the actual uptake of Law Tech has been relatively slow with it trailing behind other jurisdictions making the spectre of the robot lawyer seem rather remote.</w:t>
      </w:r>
      <w:r w:rsidR="002F64A7">
        <w:rPr>
          <w:rStyle w:val="FootnoteReference"/>
          <w:rFonts w:ascii="Arial" w:hAnsi="Arial" w:cs="Arial"/>
          <w:szCs w:val="28"/>
        </w:rPr>
        <w:footnoteReference w:id="34"/>
      </w:r>
    </w:p>
    <w:p w14:paraId="43D8045A" w14:textId="5B35F20B" w:rsidR="002053CC" w:rsidRPr="00D33284" w:rsidRDefault="00E25CFA" w:rsidP="006D49BB">
      <w:pPr>
        <w:jc w:val="both"/>
        <w:rPr>
          <w:rFonts w:ascii="Arial" w:hAnsi="Arial" w:cs="Arial"/>
          <w:szCs w:val="28"/>
        </w:rPr>
      </w:pPr>
      <w:r>
        <w:rPr>
          <w:rFonts w:ascii="Arial" w:hAnsi="Arial" w:cs="Arial"/>
          <w:szCs w:val="28"/>
        </w:rPr>
        <w:t xml:space="preserve">  </w:t>
      </w:r>
    </w:p>
    <w:p w14:paraId="5AC8138B" w14:textId="7D8E90FA" w:rsidR="000D5F21" w:rsidRPr="00D33284" w:rsidRDefault="000027A0" w:rsidP="006D49BB">
      <w:pPr>
        <w:jc w:val="both"/>
        <w:rPr>
          <w:rFonts w:ascii="Arial" w:hAnsi="Arial" w:cs="Arial"/>
          <w:szCs w:val="28"/>
        </w:rPr>
      </w:pPr>
      <w:r w:rsidRPr="00D33284">
        <w:rPr>
          <w:rFonts w:ascii="Arial" w:hAnsi="Arial" w:cs="Arial"/>
          <w:szCs w:val="28"/>
        </w:rPr>
        <w:t xml:space="preserve">Of course, the rapid pace of technological development has not </w:t>
      </w:r>
      <w:r w:rsidR="009D13C0" w:rsidRPr="00D33284">
        <w:rPr>
          <w:rFonts w:ascii="Arial" w:hAnsi="Arial" w:cs="Arial"/>
          <w:szCs w:val="28"/>
        </w:rPr>
        <w:t xml:space="preserve">only </w:t>
      </w:r>
      <w:r w:rsidRPr="00D33284">
        <w:rPr>
          <w:rFonts w:ascii="Arial" w:hAnsi="Arial" w:cs="Arial"/>
          <w:szCs w:val="28"/>
        </w:rPr>
        <w:t xml:space="preserve">changed the administration </w:t>
      </w:r>
      <w:r w:rsidR="002C3F60" w:rsidRPr="00D33284">
        <w:rPr>
          <w:rFonts w:ascii="Arial" w:hAnsi="Arial" w:cs="Arial"/>
          <w:szCs w:val="28"/>
        </w:rPr>
        <w:t xml:space="preserve">of justice and legal practice but also the law itself. </w:t>
      </w:r>
      <w:r w:rsidR="003168FD" w:rsidRPr="00D33284">
        <w:rPr>
          <w:rFonts w:ascii="Arial" w:hAnsi="Arial" w:cs="Arial"/>
          <w:szCs w:val="28"/>
        </w:rPr>
        <w:t>Legislators and policymakers have for years been required to grapple with the new challenges posed by</w:t>
      </w:r>
      <w:r w:rsidR="000C4E33" w:rsidRPr="00D33284">
        <w:rPr>
          <w:rFonts w:ascii="Arial" w:hAnsi="Arial" w:cs="Arial"/>
          <w:szCs w:val="28"/>
        </w:rPr>
        <w:t xml:space="preserve"> emergent</w:t>
      </w:r>
      <w:r w:rsidR="003168FD" w:rsidRPr="00D33284">
        <w:rPr>
          <w:rFonts w:ascii="Arial" w:hAnsi="Arial" w:cs="Arial"/>
          <w:szCs w:val="28"/>
        </w:rPr>
        <w:t xml:space="preserve"> technologies to existing legal regimes</w:t>
      </w:r>
      <w:r w:rsidR="000C4E33" w:rsidRPr="00D33284">
        <w:rPr>
          <w:rFonts w:ascii="Arial" w:hAnsi="Arial" w:cs="Arial"/>
          <w:szCs w:val="28"/>
        </w:rPr>
        <w:t xml:space="preserve">, facing the so-called ‘pacing problem’ </w:t>
      </w:r>
      <w:r w:rsidR="00BA0EB0" w:rsidRPr="00D33284">
        <w:rPr>
          <w:rFonts w:ascii="Arial" w:hAnsi="Arial" w:cs="Arial"/>
          <w:szCs w:val="28"/>
        </w:rPr>
        <w:t xml:space="preserve">as development races ahead of </w:t>
      </w:r>
      <w:r w:rsidR="005D02AA" w:rsidRPr="00D33284">
        <w:rPr>
          <w:rFonts w:ascii="Arial" w:hAnsi="Arial" w:cs="Arial"/>
          <w:szCs w:val="28"/>
        </w:rPr>
        <w:t>the legislative process.</w:t>
      </w:r>
      <w:r w:rsidR="00777747" w:rsidRPr="00D33284">
        <w:rPr>
          <w:rStyle w:val="FootnoteReference"/>
          <w:rFonts w:ascii="Arial" w:hAnsi="Arial" w:cs="Arial"/>
          <w:szCs w:val="28"/>
        </w:rPr>
        <w:footnoteReference w:id="35"/>
      </w:r>
      <w:r w:rsidR="005D02AA" w:rsidRPr="00D33284">
        <w:rPr>
          <w:rFonts w:ascii="Arial" w:hAnsi="Arial" w:cs="Arial"/>
          <w:szCs w:val="28"/>
        </w:rPr>
        <w:t xml:space="preserve"> One area where </w:t>
      </w:r>
      <w:r w:rsidR="00A65932" w:rsidRPr="00D33284">
        <w:rPr>
          <w:rFonts w:ascii="Arial" w:hAnsi="Arial" w:cs="Arial"/>
          <w:szCs w:val="28"/>
        </w:rPr>
        <w:t xml:space="preserve">this </w:t>
      </w:r>
      <w:r w:rsidR="00A65BBE" w:rsidRPr="00D33284">
        <w:rPr>
          <w:rFonts w:ascii="Arial" w:hAnsi="Arial" w:cs="Arial"/>
          <w:szCs w:val="28"/>
        </w:rPr>
        <w:t xml:space="preserve">fundamental conflict between regulation and technological </w:t>
      </w:r>
      <w:r w:rsidR="00831EAE" w:rsidRPr="00D33284">
        <w:rPr>
          <w:rFonts w:ascii="Arial" w:hAnsi="Arial" w:cs="Arial"/>
          <w:szCs w:val="28"/>
        </w:rPr>
        <w:t xml:space="preserve">development is best illustrated is in the field of Artificial Intelligence (AI). </w:t>
      </w:r>
      <w:r w:rsidR="00777747" w:rsidRPr="00D33284">
        <w:rPr>
          <w:rFonts w:ascii="Arial" w:hAnsi="Arial" w:cs="Arial"/>
          <w:szCs w:val="28"/>
        </w:rPr>
        <w:t>AI</w:t>
      </w:r>
      <w:r w:rsidR="0004670C" w:rsidRPr="00D33284">
        <w:rPr>
          <w:rFonts w:ascii="Arial" w:hAnsi="Arial" w:cs="Arial"/>
          <w:szCs w:val="28"/>
        </w:rPr>
        <w:t>,</w:t>
      </w:r>
      <w:r w:rsidR="00777747" w:rsidRPr="00D33284">
        <w:rPr>
          <w:rFonts w:ascii="Arial" w:hAnsi="Arial" w:cs="Arial"/>
          <w:szCs w:val="28"/>
        </w:rPr>
        <w:t xml:space="preserve"> in many ways</w:t>
      </w:r>
      <w:r w:rsidR="0004670C" w:rsidRPr="00D33284">
        <w:rPr>
          <w:rFonts w:ascii="Arial" w:hAnsi="Arial" w:cs="Arial"/>
          <w:szCs w:val="28"/>
        </w:rPr>
        <w:t>,</w:t>
      </w:r>
      <w:r w:rsidR="00777747" w:rsidRPr="00D33284">
        <w:rPr>
          <w:rFonts w:ascii="Arial" w:hAnsi="Arial" w:cs="Arial"/>
          <w:szCs w:val="28"/>
        </w:rPr>
        <w:t xml:space="preserve"> has been at the fore</w:t>
      </w:r>
      <w:r w:rsidR="00812DF9" w:rsidRPr="00D33284">
        <w:rPr>
          <w:rFonts w:ascii="Arial" w:hAnsi="Arial" w:cs="Arial"/>
          <w:szCs w:val="28"/>
        </w:rPr>
        <w:t>front</w:t>
      </w:r>
      <w:r w:rsidR="00777747" w:rsidRPr="00D33284">
        <w:rPr>
          <w:rFonts w:ascii="Arial" w:hAnsi="Arial" w:cs="Arial"/>
          <w:szCs w:val="28"/>
        </w:rPr>
        <w:t xml:space="preserve"> of the </w:t>
      </w:r>
      <w:r w:rsidR="00475928" w:rsidRPr="00D33284">
        <w:rPr>
          <w:rFonts w:ascii="Arial" w:hAnsi="Arial" w:cs="Arial"/>
          <w:szCs w:val="28"/>
        </w:rPr>
        <w:t>legal zeitgeist</w:t>
      </w:r>
      <w:r w:rsidR="0050054E" w:rsidRPr="00D33284">
        <w:rPr>
          <w:rFonts w:ascii="Arial" w:hAnsi="Arial" w:cs="Arial"/>
          <w:szCs w:val="28"/>
        </w:rPr>
        <w:t xml:space="preserve">. Indeed, </w:t>
      </w:r>
      <w:r w:rsidR="001D4622" w:rsidRPr="00D33284">
        <w:rPr>
          <w:rFonts w:ascii="Arial" w:hAnsi="Arial" w:cs="Arial"/>
          <w:szCs w:val="28"/>
        </w:rPr>
        <w:t xml:space="preserve">the </w:t>
      </w:r>
      <w:hyperlink r:id="rId12" w:history="1">
        <w:r w:rsidR="001D4622" w:rsidRPr="0071689D">
          <w:rPr>
            <w:rStyle w:val="Hyperlink"/>
            <w:rFonts w:ascii="Arial" w:hAnsi="Arial" w:cs="Arial"/>
            <w:szCs w:val="28"/>
          </w:rPr>
          <w:t>EU’s AI Act</w:t>
        </w:r>
      </w:hyperlink>
      <w:r w:rsidR="00BF429D" w:rsidRPr="00D33284">
        <w:rPr>
          <w:rStyle w:val="FootnoteReference"/>
          <w:rFonts w:ascii="Arial" w:hAnsi="Arial" w:cs="Arial"/>
          <w:szCs w:val="28"/>
        </w:rPr>
        <w:footnoteReference w:id="36"/>
      </w:r>
      <w:r w:rsidR="001D4622" w:rsidRPr="00D33284">
        <w:rPr>
          <w:rFonts w:ascii="Arial" w:hAnsi="Arial" w:cs="Arial"/>
          <w:szCs w:val="28"/>
        </w:rPr>
        <w:t xml:space="preserve"> looks set to </w:t>
      </w:r>
      <w:r w:rsidR="00E833C3" w:rsidRPr="00D33284">
        <w:rPr>
          <w:rFonts w:ascii="Arial" w:hAnsi="Arial" w:cs="Arial"/>
          <w:szCs w:val="28"/>
        </w:rPr>
        <w:t xml:space="preserve">be the first of such type of regulation, providing a framework for the categorisation </w:t>
      </w:r>
      <w:r w:rsidR="001B5805" w:rsidRPr="00D33284">
        <w:rPr>
          <w:rFonts w:ascii="Arial" w:hAnsi="Arial" w:cs="Arial"/>
          <w:szCs w:val="28"/>
        </w:rPr>
        <w:t>of various types of AI</w:t>
      </w:r>
      <w:r w:rsidR="00BF429D" w:rsidRPr="00D33284">
        <w:rPr>
          <w:rFonts w:ascii="Arial" w:hAnsi="Arial" w:cs="Arial"/>
          <w:szCs w:val="28"/>
        </w:rPr>
        <w:t xml:space="preserve"> with corresponding legal duties for the manufacturers and providers of such systems. </w:t>
      </w:r>
      <w:r w:rsidR="002804A7">
        <w:rPr>
          <w:rFonts w:ascii="Arial" w:hAnsi="Arial" w:cs="Arial"/>
          <w:szCs w:val="28"/>
        </w:rPr>
        <w:t xml:space="preserve">Such systems will undoubtably provide ample </w:t>
      </w:r>
      <w:r w:rsidR="00165E95">
        <w:rPr>
          <w:rFonts w:ascii="Arial" w:hAnsi="Arial" w:cs="Arial"/>
          <w:szCs w:val="28"/>
        </w:rPr>
        <w:t xml:space="preserve">challenges for the courts to grapple withthe AI-related cases beginning to emerge in several jurisdictions, mostly notably perhaps in recent times, the copyright dispute being taken by the New York Times against Open AI in relation to Chat GPT’s use of </w:t>
      </w:r>
      <w:r w:rsidR="00026295">
        <w:rPr>
          <w:rFonts w:ascii="Arial" w:hAnsi="Arial" w:cs="Arial"/>
          <w:szCs w:val="28"/>
        </w:rPr>
        <w:t>the paper’s articles in model training.</w:t>
      </w:r>
      <w:r w:rsidR="00026295">
        <w:rPr>
          <w:rStyle w:val="FootnoteReference"/>
          <w:rFonts w:ascii="Arial" w:hAnsi="Arial" w:cs="Arial"/>
          <w:szCs w:val="28"/>
        </w:rPr>
        <w:footnoteReference w:id="37"/>
      </w:r>
      <w:r w:rsidR="00026295">
        <w:rPr>
          <w:rFonts w:ascii="Arial" w:hAnsi="Arial" w:cs="Arial"/>
          <w:szCs w:val="28"/>
        </w:rPr>
        <w:t xml:space="preserve"> Similarly,</w:t>
      </w:r>
      <w:r w:rsidR="00F80D3B" w:rsidRPr="00D33284">
        <w:rPr>
          <w:rFonts w:ascii="Arial" w:hAnsi="Arial" w:cs="Arial"/>
          <w:szCs w:val="28"/>
        </w:rPr>
        <w:t xml:space="preserve"> issues of facial recognition and the processing of biometric data </w:t>
      </w:r>
      <w:r w:rsidR="007D08B0">
        <w:rPr>
          <w:rFonts w:ascii="Arial" w:hAnsi="Arial" w:cs="Arial"/>
          <w:szCs w:val="28"/>
        </w:rPr>
        <w:t xml:space="preserve">may also arise, with particular relevance to Ireland as the Government </w:t>
      </w:r>
      <w:r w:rsidR="00495D41">
        <w:rPr>
          <w:rFonts w:ascii="Arial" w:hAnsi="Arial" w:cs="Arial"/>
          <w:szCs w:val="28"/>
        </w:rPr>
        <w:t xml:space="preserve">progresses with the creation </w:t>
      </w:r>
      <w:r w:rsidR="007D08B0">
        <w:rPr>
          <w:rFonts w:ascii="Arial" w:hAnsi="Arial" w:cs="Arial"/>
          <w:szCs w:val="28"/>
        </w:rPr>
        <w:t xml:space="preserve">of the </w:t>
      </w:r>
      <w:r w:rsidR="00495D41" w:rsidRPr="00495D41">
        <w:rPr>
          <w:rFonts w:ascii="Arial" w:hAnsi="Arial" w:cs="Arial"/>
          <w:szCs w:val="28"/>
        </w:rPr>
        <w:t>Garda Síochána (Recording Devices) (Amendment) Bill of 2023.</w:t>
      </w:r>
      <w:r w:rsidR="00827575">
        <w:rPr>
          <w:rFonts w:ascii="Arial" w:hAnsi="Arial" w:cs="Arial"/>
          <w:szCs w:val="28"/>
        </w:rPr>
        <w:t xml:space="preserve"> </w:t>
      </w:r>
      <w:r w:rsidR="000D5F21" w:rsidRPr="00D33284">
        <w:rPr>
          <w:rFonts w:ascii="Arial" w:hAnsi="Arial" w:cs="Arial"/>
          <w:szCs w:val="28"/>
        </w:rPr>
        <w:t>Digital services and platform regulation a</w:t>
      </w:r>
      <w:r w:rsidR="00FB68E1" w:rsidRPr="00D33284">
        <w:rPr>
          <w:rFonts w:ascii="Arial" w:hAnsi="Arial" w:cs="Arial"/>
          <w:szCs w:val="28"/>
        </w:rPr>
        <w:t xml:space="preserve">re an area where </w:t>
      </w:r>
      <w:r w:rsidR="009A59DF" w:rsidRPr="00D33284">
        <w:rPr>
          <w:rFonts w:ascii="Arial" w:hAnsi="Arial" w:cs="Arial"/>
          <w:szCs w:val="28"/>
        </w:rPr>
        <w:t>regulators</w:t>
      </w:r>
      <w:r w:rsidR="008579F6" w:rsidRPr="00D33284">
        <w:rPr>
          <w:rFonts w:ascii="Arial" w:hAnsi="Arial" w:cs="Arial"/>
          <w:szCs w:val="28"/>
        </w:rPr>
        <w:t xml:space="preserve"> have been extremely active</w:t>
      </w:r>
      <w:r w:rsidR="0024297B" w:rsidRPr="00D33284">
        <w:rPr>
          <w:rFonts w:ascii="Arial" w:hAnsi="Arial" w:cs="Arial"/>
          <w:szCs w:val="28"/>
        </w:rPr>
        <w:t xml:space="preserve"> ranging from the relatively recent </w:t>
      </w:r>
      <w:hyperlink r:id="rId13" w:history="1">
        <w:r w:rsidR="007F7749" w:rsidRPr="007029D3">
          <w:rPr>
            <w:rStyle w:val="Hyperlink"/>
            <w:rFonts w:ascii="Arial" w:hAnsi="Arial" w:cs="Arial"/>
            <w:szCs w:val="28"/>
          </w:rPr>
          <w:t>Digital Services Act</w:t>
        </w:r>
      </w:hyperlink>
      <w:r w:rsidR="007F7749" w:rsidRPr="00D33284">
        <w:rPr>
          <w:rStyle w:val="FootnoteReference"/>
          <w:rFonts w:ascii="Arial" w:hAnsi="Arial" w:cs="Arial"/>
          <w:szCs w:val="28"/>
        </w:rPr>
        <w:footnoteReference w:id="38"/>
      </w:r>
      <w:r w:rsidR="00913367">
        <w:rPr>
          <w:rFonts w:ascii="Arial" w:hAnsi="Arial" w:cs="Arial"/>
          <w:szCs w:val="28"/>
        </w:rPr>
        <w:t xml:space="preserve"> and </w:t>
      </w:r>
      <w:hyperlink r:id="rId14" w:history="1">
        <w:r w:rsidR="00913367" w:rsidRPr="0028437A">
          <w:rPr>
            <w:rStyle w:val="Hyperlink"/>
            <w:rFonts w:ascii="Arial" w:hAnsi="Arial" w:cs="Arial"/>
            <w:szCs w:val="28"/>
          </w:rPr>
          <w:t>GDPR</w:t>
        </w:r>
      </w:hyperlink>
      <w:r w:rsidR="00913367">
        <w:rPr>
          <w:rStyle w:val="FootnoteReference"/>
          <w:rFonts w:ascii="Arial" w:hAnsi="Arial" w:cs="Arial"/>
          <w:szCs w:val="28"/>
        </w:rPr>
        <w:footnoteReference w:id="39"/>
      </w:r>
      <w:r w:rsidR="007F7749" w:rsidRPr="00D33284">
        <w:rPr>
          <w:rFonts w:ascii="Arial" w:hAnsi="Arial" w:cs="Arial"/>
          <w:szCs w:val="28"/>
        </w:rPr>
        <w:t xml:space="preserve"> to the </w:t>
      </w:r>
      <w:hyperlink r:id="rId15" w:history="1">
        <w:r w:rsidR="007F7749" w:rsidRPr="00F56249">
          <w:rPr>
            <w:rStyle w:val="Hyperlink"/>
            <w:rFonts w:ascii="Arial" w:hAnsi="Arial" w:cs="Arial"/>
            <w:szCs w:val="28"/>
          </w:rPr>
          <w:t>AVMS Directive</w:t>
        </w:r>
      </w:hyperlink>
      <w:r w:rsidR="008579F6" w:rsidRPr="00D33284">
        <w:rPr>
          <w:rFonts w:ascii="Arial" w:hAnsi="Arial" w:cs="Arial"/>
          <w:szCs w:val="28"/>
        </w:rPr>
        <w:t>.</w:t>
      </w:r>
      <w:r w:rsidR="007F7749" w:rsidRPr="00D33284">
        <w:rPr>
          <w:rStyle w:val="FootnoteReference"/>
          <w:rFonts w:ascii="Arial" w:hAnsi="Arial" w:cs="Arial"/>
          <w:szCs w:val="28"/>
        </w:rPr>
        <w:footnoteReference w:id="40"/>
      </w:r>
      <w:r w:rsidR="008579F6" w:rsidRPr="00D33284">
        <w:rPr>
          <w:rFonts w:ascii="Arial" w:hAnsi="Arial" w:cs="Arial"/>
          <w:szCs w:val="28"/>
        </w:rPr>
        <w:t xml:space="preserve"> </w:t>
      </w:r>
      <w:r w:rsidR="007D08B0">
        <w:rPr>
          <w:rFonts w:ascii="Arial" w:hAnsi="Arial" w:cs="Arial"/>
          <w:szCs w:val="28"/>
        </w:rPr>
        <w:t>Again</w:t>
      </w:r>
      <w:r w:rsidR="008579F6" w:rsidRPr="00D33284">
        <w:rPr>
          <w:rFonts w:ascii="Arial" w:hAnsi="Arial" w:cs="Arial"/>
          <w:szCs w:val="28"/>
        </w:rPr>
        <w:t xml:space="preserve"> Ireland,</w:t>
      </w:r>
      <w:r w:rsidR="007D08B0">
        <w:rPr>
          <w:rFonts w:ascii="Arial" w:hAnsi="Arial" w:cs="Arial"/>
          <w:szCs w:val="28"/>
        </w:rPr>
        <w:t xml:space="preserve"> the</w:t>
      </w:r>
      <w:r w:rsidR="00F37428">
        <w:rPr>
          <w:rFonts w:ascii="Arial" w:hAnsi="Arial" w:cs="Arial"/>
          <w:szCs w:val="28"/>
        </w:rPr>
        <w:t xml:space="preserve"> European</w:t>
      </w:r>
      <w:r w:rsidR="007D08B0">
        <w:rPr>
          <w:rFonts w:ascii="Arial" w:hAnsi="Arial" w:cs="Arial"/>
          <w:szCs w:val="28"/>
        </w:rPr>
        <w:t xml:space="preserve"> home of </w:t>
      </w:r>
      <w:r w:rsidR="00F37428">
        <w:rPr>
          <w:rFonts w:ascii="Arial" w:hAnsi="Arial" w:cs="Arial"/>
          <w:szCs w:val="28"/>
        </w:rPr>
        <w:t xml:space="preserve">the likes of Facebook, X and </w:t>
      </w:r>
      <w:r w:rsidR="00D402ED">
        <w:rPr>
          <w:rFonts w:ascii="Arial" w:hAnsi="Arial" w:cs="Arial"/>
          <w:szCs w:val="28"/>
        </w:rPr>
        <w:t>TikTok, will play a key role</w:t>
      </w:r>
      <w:r w:rsidR="008579F6" w:rsidRPr="00D33284">
        <w:rPr>
          <w:rFonts w:ascii="Arial" w:hAnsi="Arial" w:cs="Arial"/>
          <w:szCs w:val="28"/>
        </w:rPr>
        <w:t xml:space="preserve"> w</w:t>
      </w:r>
      <w:r w:rsidR="00D402ED">
        <w:rPr>
          <w:rFonts w:ascii="Arial" w:hAnsi="Arial" w:cs="Arial"/>
          <w:szCs w:val="28"/>
        </w:rPr>
        <w:t>ith</w:t>
      </w:r>
      <w:r w:rsidR="008579F6" w:rsidRPr="00D33284">
        <w:rPr>
          <w:rFonts w:ascii="Arial" w:hAnsi="Arial" w:cs="Arial"/>
          <w:szCs w:val="28"/>
        </w:rPr>
        <w:t xml:space="preserve"> </w:t>
      </w:r>
      <w:bookmarkStart w:id="1" w:name="_Hlk157586478"/>
      <w:r w:rsidR="008579F6" w:rsidRPr="00D33284">
        <w:rPr>
          <w:rFonts w:ascii="Arial" w:hAnsi="Arial" w:cs="Arial"/>
          <w:szCs w:val="28"/>
        </w:rPr>
        <w:t>Coimisiún na M</w:t>
      </w:r>
      <w:r w:rsidR="009A59DF" w:rsidRPr="00D33284">
        <w:rPr>
          <w:rFonts w:ascii="Arial" w:hAnsi="Arial" w:cs="Arial"/>
          <w:szCs w:val="28"/>
        </w:rPr>
        <w:t xml:space="preserve">eán </w:t>
      </w:r>
      <w:bookmarkEnd w:id="1"/>
      <w:r w:rsidR="009A59DF" w:rsidRPr="00D33284">
        <w:rPr>
          <w:rFonts w:ascii="Arial" w:hAnsi="Arial" w:cs="Arial"/>
          <w:szCs w:val="28"/>
        </w:rPr>
        <w:t xml:space="preserve">beginning to </w:t>
      </w:r>
      <w:r w:rsidR="008F17A8" w:rsidRPr="00D33284">
        <w:rPr>
          <w:rFonts w:ascii="Arial" w:hAnsi="Arial" w:cs="Arial"/>
          <w:szCs w:val="28"/>
        </w:rPr>
        <w:t xml:space="preserve">take its first steps in enforcing European regulation for some of the world’s largest </w:t>
      </w:r>
      <w:r w:rsidR="0024297B" w:rsidRPr="00D33284">
        <w:rPr>
          <w:rFonts w:ascii="Arial" w:hAnsi="Arial" w:cs="Arial"/>
          <w:szCs w:val="28"/>
        </w:rPr>
        <w:t>platforms and corporations.</w:t>
      </w:r>
      <w:r w:rsidR="0024297B" w:rsidRPr="00D33284">
        <w:rPr>
          <w:rStyle w:val="FootnoteReference"/>
          <w:rFonts w:ascii="Arial" w:hAnsi="Arial" w:cs="Arial"/>
          <w:szCs w:val="28"/>
        </w:rPr>
        <w:footnoteReference w:id="41"/>
      </w:r>
      <w:r w:rsidR="0024297B" w:rsidRPr="00D33284">
        <w:rPr>
          <w:rFonts w:ascii="Arial" w:hAnsi="Arial" w:cs="Arial"/>
          <w:szCs w:val="28"/>
        </w:rPr>
        <w:t xml:space="preserve"> </w:t>
      </w:r>
      <w:r w:rsidR="00254EFC">
        <w:rPr>
          <w:rFonts w:ascii="Arial" w:hAnsi="Arial" w:cs="Arial"/>
          <w:szCs w:val="28"/>
        </w:rPr>
        <w:t xml:space="preserve">It is not within the scope of this paper to analyse the </w:t>
      </w:r>
      <w:r w:rsidR="001D033F">
        <w:rPr>
          <w:rFonts w:ascii="Arial" w:hAnsi="Arial" w:cs="Arial"/>
          <w:szCs w:val="28"/>
        </w:rPr>
        <w:t xml:space="preserve">vast array of law and technology issues, however they will without doubt continue to </w:t>
      </w:r>
      <w:r w:rsidR="006C7DCA">
        <w:rPr>
          <w:rFonts w:ascii="Arial" w:hAnsi="Arial" w:cs="Arial"/>
          <w:szCs w:val="28"/>
        </w:rPr>
        <w:t xml:space="preserve">emerge as the rapid growth of technology continues unabated. </w:t>
      </w:r>
    </w:p>
    <w:p w14:paraId="290DB1AD" w14:textId="77777777" w:rsidR="000027A0" w:rsidRPr="00D33284" w:rsidRDefault="000027A0" w:rsidP="006D49BB">
      <w:pPr>
        <w:jc w:val="both"/>
        <w:rPr>
          <w:rFonts w:ascii="Arial" w:hAnsi="Arial" w:cs="Arial"/>
          <w:szCs w:val="28"/>
        </w:rPr>
      </w:pPr>
    </w:p>
    <w:p w14:paraId="6E03BD29" w14:textId="54056FDC" w:rsidR="00384671" w:rsidRPr="00D33284" w:rsidRDefault="003770A1" w:rsidP="006D49BB">
      <w:pPr>
        <w:jc w:val="both"/>
        <w:rPr>
          <w:rFonts w:ascii="Arial" w:hAnsi="Arial" w:cs="Arial"/>
          <w:szCs w:val="28"/>
        </w:rPr>
      </w:pPr>
      <w:r w:rsidRPr="00D33284">
        <w:rPr>
          <w:rFonts w:ascii="Arial" w:hAnsi="Arial" w:cs="Arial"/>
          <w:szCs w:val="28"/>
        </w:rPr>
        <w:t xml:space="preserve">In conclusion, there is one core theme that emerges regarding </w:t>
      </w:r>
      <w:r w:rsidR="008864D1" w:rsidRPr="00D33284">
        <w:rPr>
          <w:rFonts w:ascii="Arial" w:hAnsi="Arial" w:cs="Arial"/>
          <w:szCs w:val="28"/>
        </w:rPr>
        <w:t>the law</w:t>
      </w:r>
      <w:r w:rsidR="00BE51E8" w:rsidRPr="00D33284">
        <w:rPr>
          <w:rFonts w:ascii="Arial" w:hAnsi="Arial" w:cs="Arial"/>
          <w:szCs w:val="28"/>
        </w:rPr>
        <w:t xml:space="preserve"> and</w:t>
      </w:r>
      <w:r w:rsidR="008864D1" w:rsidRPr="00D33284">
        <w:rPr>
          <w:rFonts w:ascii="Arial" w:hAnsi="Arial" w:cs="Arial"/>
          <w:szCs w:val="28"/>
        </w:rPr>
        <w:t xml:space="preserve"> </w:t>
      </w:r>
      <w:r w:rsidR="00BE51E8" w:rsidRPr="00D33284">
        <w:rPr>
          <w:rFonts w:ascii="Arial" w:hAnsi="Arial" w:cs="Arial"/>
          <w:szCs w:val="28"/>
        </w:rPr>
        <w:t>technology:</w:t>
      </w:r>
      <w:r w:rsidR="008864D1" w:rsidRPr="00D33284">
        <w:rPr>
          <w:rFonts w:ascii="Arial" w:hAnsi="Arial" w:cs="Arial"/>
          <w:szCs w:val="28"/>
        </w:rPr>
        <w:t xml:space="preserve"> a theme of balance. Technology has, indisputably, improved the effi</w:t>
      </w:r>
      <w:r w:rsidR="00CF503C" w:rsidRPr="00D33284">
        <w:rPr>
          <w:rFonts w:ascii="Arial" w:hAnsi="Arial" w:cs="Arial"/>
          <w:szCs w:val="28"/>
        </w:rPr>
        <w:t>ciency of the administration of justice and opened up the law to the public</w:t>
      </w:r>
      <w:r w:rsidR="00384671" w:rsidRPr="00D33284">
        <w:rPr>
          <w:rFonts w:ascii="Arial" w:hAnsi="Arial" w:cs="Arial"/>
          <w:szCs w:val="28"/>
        </w:rPr>
        <w:t xml:space="preserve"> in a way that had not been possible previously. It </w:t>
      </w:r>
      <w:r w:rsidR="00AD5878">
        <w:rPr>
          <w:rFonts w:ascii="Arial" w:hAnsi="Arial" w:cs="Arial"/>
          <w:szCs w:val="28"/>
        </w:rPr>
        <w:t xml:space="preserve">has greatly enhanced the ability of lawyers to build vast knowledge and </w:t>
      </w:r>
      <w:r w:rsidR="00977078">
        <w:rPr>
          <w:rFonts w:ascii="Arial" w:hAnsi="Arial" w:cs="Arial"/>
          <w:szCs w:val="28"/>
        </w:rPr>
        <w:t xml:space="preserve">carry out their work with efficiency, with technology removing the tedious work and allowing them to </w:t>
      </w:r>
      <w:r w:rsidR="001A174F">
        <w:rPr>
          <w:rFonts w:ascii="Arial" w:hAnsi="Arial" w:cs="Arial"/>
          <w:szCs w:val="28"/>
        </w:rPr>
        <w:t xml:space="preserve">focus on the skilled work that is core to the profession. Similarly, the deployment of technology across society has brought benefits </w:t>
      </w:r>
      <w:r w:rsidR="00EC6458">
        <w:rPr>
          <w:rFonts w:ascii="Arial" w:hAnsi="Arial" w:cs="Arial"/>
          <w:szCs w:val="28"/>
        </w:rPr>
        <w:t xml:space="preserve">to all ranging from cheap and easy connectivity to the ability to access vast stores on information in the online space. </w:t>
      </w:r>
      <w:r w:rsidR="00384671" w:rsidRPr="00D33284">
        <w:rPr>
          <w:rFonts w:ascii="Arial" w:hAnsi="Arial" w:cs="Arial"/>
          <w:szCs w:val="28"/>
        </w:rPr>
        <w:t xml:space="preserve">However, while </w:t>
      </w:r>
      <w:r w:rsidR="00826593" w:rsidRPr="00D33284">
        <w:rPr>
          <w:rFonts w:ascii="Arial" w:hAnsi="Arial" w:cs="Arial"/>
          <w:szCs w:val="28"/>
        </w:rPr>
        <w:t xml:space="preserve">the benefits of technological development have been bountiful, they bring with them </w:t>
      </w:r>
      <w:r w:rsidR="00D42CE3" w:rsidRPr="00D33284">
        <w:rPr>
          <w:rFonts w:ascii="Arial" w:hAnsi="Arial" w:cs="Arial"/>
          <w:szCs w:val="28"/>
        </w:rPr>
        <w:t xml:space="preserve">risks and challenges. </w:t>
      </w:r>
      <w:r w:rsidR="009C2094" w:rsidRPr="00D33284">
        <w:rPr>
          <w:rFonts w:ascii="Arial" w:hAnsi="Arial" w:cs="Arial"/>
          <w:szCs w:val="28"/>
        </w:rPr>
        <w:t xml:space="preserve">Technology has vastly improved the efficiency of the courts yet </w:t>
      </w:r>
      <w:r w:rsidR="009A02DF" w:rsidRPr="00D33284">
        <w:rPr>
          <w:rFonts w:ascii="Arial" w:hAnsi="Arial" w:cs="Arial"/>
          <w:szCs w:val="28"/>
        </w:rPr>
        <w:t xml:space="preserve">algorithmic justice </w:t>
      </w:r>
      <w:r w:rsidR="00EC6458">
        <w:rPr>
          <w:rFonts w:ascii="Arial" w:hAnsi="Arial" w:cs="Arial"/>
          <w:szCs w:val="28"/>
        </w:rPr>
        <w:t xml:space="preserve">poses a potentially grave threat to fundamental rights. </w:t>
      </w:r>
      <w:r w:rsidR="00060AA7">
        <w:rPr>
          <w:rFonts w:ascii="Arial" w:hAnsi="Arial" w:cs="Arial"/>
          <w:szCs w:val="28"/>
        </w:rPr>
        <w:t xml:space="preserve">For </w:t>
      </w:r>
      <w:r w:rsidR="008B2C2D">
        <w:rPr>
          <w:rFonts w:ascii="Arial" w:hAnsi="Arial" w:cs="Arial"/>
          <w:szCs w:val="28"/>
        </w:rPr>
        <w:t>practitioners</w:t>
      </w:r>
      <w:r w:rsidR="00060AA7">
        <w:rPr>
          <w:rFonts w:ascii="Arial" w:hAnsi="Arial" w:cs="Arial"/>
          <w:szCs w:val="28"/>
        </w:rPr>
        <w:t>, Law Tech requires that they cater ever more to the marketisation</w:t>
      </w:r>
      <w:r w:rsidR="008B2C2D">
        <w:rPr>
          <w:rFonts w:ascii="Arial" w:hAnsi="Arial" w:cs="Arial"/>
          <w:szCs w:val="28"/>
        </w:rPr>
        <w:t xml:space="preserve"> and to adapt lest they risk obsolescence. Finally, the </w:t>
      </w:r>
      <w:r w:rsidR="00A11C42">
        <w:rPr>
          <w:rFonts w:ascii="Arial" w:hAnsi="Arial" w:cs="Arial"/>
          <w:szCs w:val="28"/>
        </w:rPr>
        <w:t>growth of technology has increased the challenges to fundamental rights</w:t>
      </w:r>
      <w:r w:rsidR="00F56FC2">
        <w:rPr>
          <w:rFonts w:ascii="Arial" w:hAnsi="Arial" w:cs="Arial"/>
          <w:szCs w:val="28"/>
        </w:rPr>
        <w:t xml:space="preserve"> and poses all of us with serious questions about the future and how we can allow innovation to flourish while preventing the serious harms that can go with it. </w:t>
      </w:r>
      <w:r w:rsidR="008B2C2D">
        <w:rPr>
          <w:rFonts w:ascii="Arial" w:hAnsi="Arial" w:cs="Arial"/>
          <w:szCs w:val="28"/>
        </w:rPr>
        <w:t xml:space="preserve"> </w:t>
      </w:r>
      <w:r w:rsidR="00384671" w:rsidRPr="00D33284">
        <w:rPr>
          <w:rFonts w:ascii="Arial" w:hAnsi="Arial" w:cs="Arial"/>
          <w:szCs w:val="28"/>
        </w:rPr>
        <w:t>The former Chief Justice</w:t>
      </w:r>
      <w:r w:rsidR="000B5937" w:rsidRPr="00D33284">
        <w:rPr>
          <w:rFonts w:ascii="Arial" w:hAnsi="Arial" w:cs="Arial"/>
          <w:szCs w:val="28"/>
        </w:rPr>
        <w:t xml:space="preserve"> Frank Clarke put it best when, while commenting on </w:t>
      </w:r>
      <w:r w:rsidR="0040175F" w:rsidRPr="00D33284">
        <w:rPr>
          <w:rFonts w:ascii="Arial" w:hAnsi="Arial" w:cs="Arial"/>
          <w:szCs w:val="28"/>
        </w:rPr>
        <w:t xml:space="preserve">the digitalisation of justice, he noted that technology was not </w:t>
      </w:r>
      <w:r w:rsidR="004D3D48" w:rsidRPr="00D33284">
        <w:rPr>
          <w:rFonts w:ascii="Arial" w:hAnsi="Arial" w:cs="Arial"/>
          <w:szCs w:val="28"/>
        </w:rPr>
        <w:t xml:space="preserve">“a silver bullet” but rather “a piece in the jigsaw.” </w:t>
      </w:r>
      <w:r w:rsidR="00F04A09" w:rsidRPr="00D33284">
        <w:rPr>
          <w:rFonts w:ascii="Arial" w:hAnsi="Arial" w:cs="Arial"/>
          <w:szCs w:val="28"/>
        </w:rPr>
        <w:t xml:space="preserve">This paper concurs with such sentiment. </w:t>
      </w:r>
      <w:r w:rsidR="003E28C1">
        <w:rPr>
          <w:rFonts w:ascii="Arial" w:hAnsi="Arial" w:cs="Arial"/>
          <w:szCs w:val="28"/>
        </w:rPr>
        <w:t xml:space="preserve">Technology can and will undoubtably have a positive role to play in the courts and in practice. It will therefore be vital to strike a balance, ensuring that </w:t>
      </w:r>
      <w:r w:rsidR="002D6901">
        <w:rPr>
          <w:rFonts w:ascii="Arial" w:hAnsi="Arial" w:cs="Arial"/>
          <w:szCs w:val="28"/>
        </w:rPr>
        <w:t xml:space="preserve">the law can keep up with </w:t>
      </w:r>
      <w:r w:rsidR="00B85986">
        <w:rPr>
          <w:rFonts w:ascii="Arial" w:hAnsi="Arial" w:cs="Arial"/>
          <w:szCs w:val="28"/>
        </w:rPr>
        <w:t>the times</w:t>
      </w:r>
      <w:r w:rsidR="00C20E9F">
        <w:rPr>
          <w:rFonts w:ascii="Arial" w:hAnsi="Arial" w:cs="Arial"/>
          <w:szCs w:val="28"/>
        </w:rPr>
        <w:t xml:space="preserve"> while safeguarding society’s core values. </w:t>
      </w:r>
    </w:p>
    <w:p w14:paraId="443063E5" w14:textId="77777777" w:rsidR="00B65A61" w:rsidRPr="00D33284" w:rsidRDefault="00B65A61" w:rsidP="003770A1">
      <w:pPr>
        <w:pStyle w:val="ListParagraph"/>
        <w:spacing w:after="120" w:line="360" w:lineRule="auto"/>
        <w:ind w:left="360"/>
        <w:rPr>
          <w:rFonts w:ascii="Arial" w:hAnsi="Arial" w:cs="Arial"/>
        </w:rPr>
      </w:pPr>
      <w:r w:rsidRPr="00D33284">
        <w:rPr>
          <w:rFonts w:ascii="Arial" w:hAnsi="Arial" w:cs="Arial"/>
          <w:sz w:val="20"/>
        </w:rPr>
        <w:br w:type="page"/>
      </w:r>
    </w:p>
    <w:p w14:paraId="6E4B9647" w14:textId="77777777" w:rsidR="00FA7B76" w:rsidRPr="00D33284" w:rsidRDefault="00FA7B76" w:rsidP="00FA7B76">
      <w:pPr>
        <w:pStyle w:val="KIFtabletext"/>
        <w:rPr>
          <w:rFonts w:ascii="Arial" w:hAnsi="Arial" w:cs="Arial"/>
        </w:rPr>
      </w:pPr>
    </w:p>
    <w:p w14:paraId="64D107D8" w14:textId="77777777" w:rsidR="00FA7B76" w:rsidRPr="00D33284" w:rsidRDefault="00FA7B76" w:rsidP="00FA7B76">
      <w:pPr>
        <w:pStyle w:val="Details"/>
        <w:jc w:val="left"/>
        <w:rPr>
          <w:rFonts w:ascii="Arial" w:hAnsi="Arial" w:cs="Arial"/>
        </w:rPr>
      </w:pPr>
    </w:p>
    <w:p w14:paraId="4226D298" w14:textId="77777777" w:rsidR="00FA7B76" w:rsidRPr="00D33284" w:rsidRDefault="00FA7B76" w:rsidP="00FA7B76">
      <w:pPr>
        <w:pStyle w:val="Details"/>
        <w:jc w:val="left"/>
        <w:rPr>
          <w:rFonts w:ascii="Arial" w:hAnsi="Arial" w:cs="Arial"/>
        </w:rPr>
      </w:pPr>
    </w:p>
    <w:p w14:paraId="6669E4FD" w14:textId="77777777" w:rsidR="00FA7B76" w:rsidRPr="00D33284" w:rsidRDefault="00FA7B76" w:rsidP="00FA7B76">
      <w:pPr>
        <w:pStyle w:val="Details"/>
        <w:jc w:val="left"/>
        <w:rPr>
          <w:rFonts w:ascii="Arial" w:hAnsi="Arial" w:cs="Arial"/>
        </w:rPr>
      </w:pPr>
    </w:p>
    <w:p w14:paraId="07829A9A" w14:textId="77777777" w:rsidR="00FA7B76" w:rsidRPr="00D33284" w:rsidRDefault="00FA7B76" w:rsidP="00FA7B76">
      <w:pPr>
        <w:pStyle w:val="Details"/>
        <w:jc w:val="left"/>
        <w:rPr>
          <w:rFonts w:ascii="Arial" w:hAnsi="Arial" w:cs="Arial"/>
        </w:rPr>
      </w:pPr>
    </w:p>
    <w:p w14:paraId="3871AD82" w14:textId="77777777" w:rsidR="00FA7B76" w:rsidRPr="00D33284" w:rsidRDefault="00FA7B76" w:rsidP="00FA7B76">
      <w:pPr>
        <w:pStyle w:val="Details"/>
        <w:jc w:val="left"/>
        <w:rPr>
          <w:rFonts w:ascii="Arial" w:hAnsi="Arial" w:cs="Arial"/>
        </w:rPr>
      </w:pPr>
    </w:p>
    <w:p w14:paraId="7C1A2A77" w14:textId="77777777" w:rsidR="00FA7B76" w:rsidRPr="00D33284" w:rsidRDefault="00FA7B76" w:rsidP="00FA7B76">
      <w:pPr>
        <w:pStyle w:val="Details"/>
        <w:jc w:val="left"/>
        <w:rPr>
          <w:rFonts w:ascii="Arial" w:hAnsi="Arial" w:cs="Arial"/>
        </w:rPr>
      </w:pPr>
    </w:p>
    <w:p w14:paraId="4E59844F" w14:textId="77777777" w:rsidR="000C4680" w:rsidRPr="00D33284" w:rsidRDefault="000C4680" w:rsidP="000C4680">
      <w:pPr>
        <w:pStyle w:val="Details"/>
        <w:jc w:val="left"/>
        <w:rPr>
          <w:rFonts w:ascii="Arial" w:hAnsi="Arial" w:cs="Arial"/>
        </w:rPr>
      </w:pPr>
    </w:p>
    <w:sectPr w:rsidR="000C4680" w:rsidRPr="00D33284" w:rsidSect="007D6721">
      <w:headerReference w:type="default" r:id="rId16"/>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70C1A" w14:textId="77777777" w:rsidR="00F16715" w:rsidRDefault="00F16715" w:rsidP="007206FB">
      <w:pPr>
        <w:spacing w:after="0"/>
      </w:pPr>
      <w:r>
        <w:separator/>
      </w:r>
    </w:p>
  </w:endnote>
  <w:endnote w:type="continuationSeparator" w:id="0">
    <w:p w14:paraId="2874B97C" w14:textId="77777777" w:rsidR="00F16715" w:rsidRDefault="00F16715" w:rsidP="007206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17A78" w14:textId="77777777" w:rsidR="00F16715" w:rsidRDefault="00F16715" w:rsidP="007206FB">
      <w:pPr>
        <w:spacing w:after="0"/>
      </w:pPr>
      <w:r>
        <w:separator/>
      </w:r>
    </w:p>
  </w:footnote>
  <w:footnote w:type="continuationSeparator" w:id="0">
    <w:p w14:paraId="4FC05BD2" w14:textId="77777777" w:rsidR="00F16715" w:rsidRDefault="00F16715" w:rsidP="007206FB">
      <w:pPr>
        <w:spacing w:after="0"/>
      </w:pPr>
      <w:r>
        <w:continuationSeparator/>
      </w:r>
    </w:p>
  </w:footnote>
  <w:footnote w:id="1">
    <w:p w14:paraId="1620C0F2" w14:textId="16BB6A1E" w:rsidR="00185D76" w:rsidRPr="00F96225" w:rsidRDefault="00185D76" w:rsidP="00F96225">
      <w:pPr>
        <w:pStyle w:val="FootnoteText"/>
      </w:pPr>
      <w:r>
        <w:rPr>
          <w:rStyle w:val="FootnoteReference"/>
        </w:rPr>
        <w:footnoteRef/>
      </w:r>
      <w:r>
        <w:t xml:space="preserve"> </w:t>
      </w:r>
      <w:r w:rsidR="00F96225" w:rsidRPr="00FA7B76">
        <w:rPr>
          <w:rFonts w:ascii="Arial" w:hAnsi="Arial" w:cs="Arial"/>
        </w:rPr>
        <w:t>Agnieszka McPeak, ‘Disruptive Technology and the Ethical Lawyer’ (2019) 50 U. TOL. L. REV. 457.</w:t>
      </w:r>
    </w:p>
  </w:footnote>
  <w:footnote w:id="2">
    <w:p w14:paraId="45A9F951" w14:textId="77777777" w:rsidR="00FA3C5D" w:rsidRDefault="00FA3C5D" w:rsidP="00FA3C5D">
      <w:pPr>
        <w:pStyle w:val="FootnoteText"/>
      </w:pPr>
      <w:r>
        <w:rPr>
          <w:rStyle w:val="FootnoteReference"/>
        </w:rPr>
        <w:footnoteRef/>
      </w:r>
      <w:r>
        <w:t xml:space="preserve"> </w:t>
      </w:r>
      <w:r w:rsidRPr="00FA7B76">
        <w:rPr>
          <w:rFonts w:ascii="Arial" w:hAnsi="Arial" w:cs="Arial"/>
        </w:rPr>
        <w:t>Working Group on the Courts Commission, ‘Second Report: Case management and court management’ (1996) 10</w:t>
      </w:r>
    </w:p>
    <w:p w14:paraId="3D770643" w14:textId="35B9D42E" w:rsidR="00FA3C5D" w:rsidRPr="00FA7B76" w:rsidRDefault="00F16715" w:rsidP="00FA3C5D">
      <w:pPr>
        <w:pStyle w:val="FootnoteText"/>
        <w:rPr>
          <w:rFonts w:ascii="Arial" w:hAnsi="Arial" w:cs="Arial"/>
          <w:lang w:val="en-GB"/>
        </w:rPr>
      </w:pPr>
      <w:hyperlink r:id="rId1" w:history="1">
        <w:r w:rsidR="002E06B9" w:rsidRPr="00FA7B76">
          <w:rPr>
            <w:rStyle w:val="Hyperlink"/>
            <w:rFonts w:ascii="Arial" w:hAnsi="Arial" w:cs="Arial"/>
          </w:rPr>
          <w:t>https://www.courts.ie/policy-reports-strategic-plans##Pub19</w:t>
        </w:r>
      </w:hyperlink>
      <w:r w:rsidR="002E06B9" w:rsidRPr="00FA7B76">
        <w:rPr>
          <w:rFonts w:ascii="Arial" w:hAnsi="Arial" w:cs="Arial"/>
        </w:rPr>
        <w:t xml:space="preserve"> </w:t>
      </w:r>
      <w:r w:rsidR="00FA3C5D" w:rsidRPr="00FA7B76">
        <w:rPr>
          <w:rFonts w:ascii="Arial" w:hAnsi="Arial" w:cs="Arial"/>
        </w:rPr>
        <w:t xml:space="preserve"> accessed 30 January 2024.</w:t>
      </w:r>
    </w:p>
  </w:footnote>
  <w:footnote w:id="3">
    <w:p w14:paraId="53DB274D" w14:textId="607ED217" w:rsidR="00225449" w:rsidRPr="00225449" w:rsidRDefault="00225449">
      <w:pPr>
        <w:pStyle w:val="FootnoteText"/>
        <w:rPr>
          <w:lang w:val="en-GB"/>
        </w:rPr>
      </w:pPr>
      <w:r>
        <w:rPr>
          <w:rStyle w:val="FootnoteReference"/>
        </w:rPr>
        <w:footnoteRef/>
      </w:r>
      <w:r>
        <w:t xml:space="preserve"> </w:t>
      </w:r>
      <w:r w:rsidRPr="00FA7B76">
        <w:rPr>
          <w:rFonts w:ascii="Arial" w:hAnsi="Arial" w:cs="Arial"/>
          <w:lang w:val="en-GB"/>
        </w:rPr>
        <w:t>Ibid, p12.</w:t>
      </w:r>
      <w:r>
        <w:rPr>
          <w:lang w:val="en-GB"/>
        </w:rPr>
        <w:t xml:space="preserve"> </w:t>
      </w:r>
    </w:p>
  </w:footnote>
  <w:footnote w:id="4">
    <w:p w14:paraId="75255665" w14:textId="282826C6" w:rsidR="00A502A3" w:rsidRPr="00A502A3" w:rsidRDefault="00A502A3">
      <w:pPr>
        <w:pStyle w:val="FootnoteText"/>
        <w:rPr>
          <w:lang w:val="en-GB"/>
        </w:rPr>
      </w:pPr>
      <w:r>
        <w:rPr>
          <w:rStyle w:val="FootnoteReference"/>
        </w:rPr>
        <w:footnoteRef/>
      </w:r>
      <w:r>
        <w:t xml:space="preserve"> </w:t>
      </w:r>
      <w:r w:rsidR="00E74BCB" w:rsidRPr="00FA7B76">
        <w:rPr>
          <w:rFonts w:ascii="Arial" w:hAnsi="Arial" w:cs="Arial"/>
        </w:rPr>
        <w:t>Mark Hilliard, ‘</w:t>
      </w:r>
      <w:hyperlink r:id="rId2" w:history="1">
        <w:r w:rsidR="00E74BCB" w:rsidRPr="00FA7B76">
          <w:rPr>
            <w:rStyle w:val="Hyperlink"/>
            <w:rFonts w:ascii="Arial" w:hAnsi="Arial" w:cs="Arial"/>
          </w:rPr>
          <w:t>Courts Service boss fears collapse of IT system</w:t>
        </w:r>
      </w:hyperlink>
      <w:r w:rsidR="00E74BCB" w:rsidRPr="00FA7B76">
        <w:rPr>
          <w:rFonts w:ascii="Arial" w:hAnsi="Arial" w:cs="Arial"/>
        </w:rPr>
        <w:t xml:space="preserve">’ </w:t>
      </w:r>
      <w:r w:rsidR="00E74BCB" w:rsidRPr="00FA7B76">
        <w:rPr>
          <w:rFonts w:ascii="Arial" w:hAnsi="Arial" w:cs="Arial"/>
          <w:i/>
          <w:iCs/>
        </w:rPr>
        <w:t>The Irish Times</w:t>
      </w:r>
      <w:r w:rsidR="00E74BCB" w:rsidRPr="00FA7B76">
        <w:rPr>
          <w:rFonts w:ascii="Arial" w:hAnsi="Arial" w:cs="Arial"/>
        </w:rPr>
        <w:t xml:space="preserve"> (Dublin, 28 November 2015).</w:t>
      </w:r>
    </w:p>
  </w:footnote>
  <w:footnote w:id="5">
    <w:p w14:paraId="09E18702" w14:textId="6A9C133D" w:rsidR="00827575" w:rsidRPr="00937B78" w:rsidRDefault="00827575">
      <w:pPr>
        <w:pStyle w:val="FootnoteText"/>
        <w:rPr>
          <w:rFonts w:ascii="Arial" w:hAnsi="Arial" w:cs="Arial"/>
          <w:lang w:val="en-GB"/>
        </w:rPr>
      </w:pPr>
      <w:r w:rsidRPr="00937B78">
        <w:rPr>
          <w:rStyle w:val="FootnoteReference"/>
          <w:rFonts w:ascii="Arial" w:hAnsi="Arial" w:cs="Arial"/>
        </w:rPr>
        <w:footnoteRef/>
      </w:r>
      <w:r w:rsidRPr="00937B78">
        <w:rPr>
          <w:rFonts w:ascii="Arial" w:hAnsi="Arial" w:cs="Arial"/>
        </w:rPr>
        <w:t xml:space="preserve"> </w:t>
      </w:r>
      <w:r w:rsidR="00E86FD2" w:rsidRPr="00937B78">
        <w:rPr>
          <w:rFonts w:ascii="Arial" w:hAnsi="Arial" w:cs="Arial"/>
        </w:rPr>
        <w:t>Courts Service, ‘Corporate Strategic Plan 2021 – 2023’ (Courts Service, 2021), 17</w:t>
      </w:r>
      <w:r w:rsidR="00765EFF" w:rsidRPr="00937B78">
        <w:rPr>
          <w:rFonts w:ascii="Arial" w:hAnsi="Arial" w:cs="Arial"/>
        </w:rPr>
        <w:t xml:space="preserve"> &lt;</w:t>
      </w:r>
      <w:r w:rsidR="00E2776D" w:rsidRPr="00937B78">
        <w:rPr>
          <w:rFonts w:ascii="Arial" w:hAnsi="Arial" w:cs="Arial"/>
        </w:rPr>
        <w:t xml:space="preserve"> </w:t>
      </w:r>
      <w:hyperlink r:id="rId3" w:history="1">
        <w:r w:rsidR="005F7184" w:rsidRPr="00937B78">
          <w:rPr>
            <w:rStyle w:val="Hyperlink"/>
            <w:rFonts w:ascii="Arial" w:hAnsi="Arial" w:cs="Arial"/>
          </w:rPr>
          <w:t>https://courtsservice.cloud.gov.ie/Shared%20Documents/Media%20and%20Newsletters/Strategic%20Plan%202021%20-%202023.pdf</w:t>
        </w:r>
      </w:hyperlink>
      <w:r w:rsidR="00765EFF" w:rsidRPr="00937B78">
        <w:rPr>
          <w:rFonts w:ascii="Arial" w:hAnsi="Arial" w:cs="Arial"/>
        </w:rPr>
        <w:t>&gt;</w:t>
      </w:r>
      <w:r w:rsidR="005F7184" w:rsidRPr="00937B78">
        <w:rPr>
          <w:rFonts w:ascii="Arial" w:hAnsi="Arial" w:cs="Arial"/>
        </w:rPr>
        <w:t xml:space="preserve"> </w:t>
      </w:r>
      <w:r w:rsidR="00765EFF" w:rsidRPr="00937B78">
        <w:rPr>
          <w:rFonts w:ascii="Arial" w:hAnsi="Arial" w:cs="Arial"/>
        </w:rPr>
        <w:t xml:space="preserve"> accessed 30 January 202</w:t>
      </w:r>
      <w:r w:rsidR="005F7184" w:rsidRPr="00937B78">
        <w:rPr>
          <w:rFonts w:ascii="Arial" w:hAnsi="Arial" w:cs="Arial"/>
        </w:rPr>
        <w:t>4</w:t>
      </w:r>
      <w:r w:rsidR="00765EFF" w:rsidRPr="00937B78">
        <w:rPr>
          <w:rFonts w:ascii="Arial" w:hAnsi="Arial" w:cs="Arial"/>
        </w:rPr>
        <w:t>.</w:t>
      </w:r>
    </w:p>
  </w:footnote>
  <w:footnote w:id="6">
    <w:p w14:paraId="0E2AD674" w14:textId="750A53AD" w:rsidR="002D6AF6" w:rsidRPr="00937B78" w:rsidRDefault="002D6AF6" w:rsidP="002D6AF6">
      <w:pPr>
        <w:pStyle w:val="FootnoteText"/>
        <w:rPr>
          <w:rFonts w:ascii="Arial" w:hAnsi="Arial" w:cs="Arial"/>
          <w:lang w:val="en-GB"/>
        </w:rPr>
      </w:pPr>
      <w:r w:rsidRPr="00937B78">
        <w:rPr>
          <w:rStyle w:val="FootnoteReference"/>
          <w:rFonts w:ascii="Arial" w:hAnsi="Arial" w:cs="Arial"/>
        </w:rPr>
        <w:footnoteRef/>
      </w:r>
      <w:r w:rsidRPr="00937B78">
        <w:rPr>
          <w:rFonts w:ascii="Arial" w:hAnsi="Arial" w:cs="Arial"/>
        </w:rPr>
        <w:t xml:space="preserve"> </w:t>
      </w:r>
      <w:r w:rsidR="00166536" w:rsidRPr="00937B78">
        <w:rPr>
          <w:rFonts w:ascii="Arial" w:hAnsi="Arial" w:cs="Arial"/>
          <w:lang w:val="en-GB"/>
        </w:rPr>
        <w:t>Courts Service, Annual Report 2022</w:t>
      </w:r>
      <w:r w:rsidR="00765EFF" w:rsidRPr="00937B78">
        <w:rPr>
          <w:rFonts w:ascii="Arial" w:hAnsi="Arial" w:cs="Arial"/>
          <w:lang w:val="en-GB"/>
        </w:rPr>
        <w:t xml:space="preserve"> (Courts Service, 2022) </w:t>
      </w:r>
      <w:r w:rsidR="00E2776D" w:rsidRPr="00937B78">
        <w:rPr>
          <w:rFonts w:ascii="Arial" w:hAnsi="Arial" w:cs="Arial"/>
          <w:lang w:val="en-GB"/>
        </w:rPr>
        <w:t>&lt;</w:t>
      </w:r>
      <w:r w:rsidR="005F7184" w:rsidRPr="00937B78">
        <w:rPr>
          <w:rFonts w:ascii="Arial" w:hAnsi="Arial" w:cs="Arial"/>
        </w:rPr>
        <w:t xml:space="preserve"> </w:t>
      </w:r>
      <w:hyperlink r:id="rId4" w:anchor="view=fitH" w:history="1">
        <w:r w:rsidR="005F7184" w:rsidRPr="00937B78">
          <w:rPr>
            <w:rStyle w:val="Hyperlink"/>
            <w:rFonts w:ascii="Arial" w:hAnsi="Arial" w:cs="Arial"/>
            <w:lang w:val="en-GB"/>
          </w:rPr>
          <w:t>https://www.courts.ie/acc/alfresco/8adf9153-bfec-4402-9c2b-cc3d51b83da5/The%20Courts%20Service%20Annual%20Report%202022%20FINAL.pdf/pdf#view=fitH</w:t>
        </w:r>
      </w:hyperlink>
      <w:r w:rsidR="00E2776D" w:rsidRPr="00937B78">
        <w:rPr>
          <w:rFonts w:ascii="Arial" w:hAnsi="Arial" w:cs="Arial"/>
          <w:lang w:val="en-GB"/>
        </w:rPr>
        <w:t>&gt;</w:t>
      </w:r>
      <w:r w:rsidR="005F7184" w:rsidRPr="00937B78">
        <w:rPr>
          <w:rFonts w:ascii="Arial" w:hAnsi="Arial" w:cs="Arial"/>
          <w:lang w:val="en-GB"/>
        </w:rPr>
        <w:t>. Accessed 30 January 2024.</w:t>
      </w:r>
    </w:p>
  </w:footnote>
  <w:footnote w:id="7">
    <w:p w14:paraId="1C71CBFA" w14:textId="77777777" w:rsidR="002D6AF6" w:rsidRPr="00937B78" w:rsidRDefault="002D6AF6" w:rsidP="002D6AF6">
      <w:pPr>
        <w:pStyle w:val="FootnoteText"/>
        <w:rPr>
          <w:rFonts w:ascii="Arial" w:hAnsi="Arial" w:cs="Arial"/>
          <w:lang w:val="en-GB"/>
        </w:rPr>
      </w:pPr>
      <w:r w:rsidRPr="00937B78">
        <w:rPr>
          <w:rStyle w:val="FootnoteReference"/>
          <w:rFonts w:ascii="Arial" w:hAnsi="Arial" w:cs="Arial"/>
        </w:rPr>
        <w:footnoteRef/>
      </w:r>
      <w:r w:rsidRPr="00937B78">
        <w:rPr>
          <w:rFonts w:ascii="Arial" w:hAnsi="Arial" w:cs="Arial"/>
        </w:rPr>
        <w:t xml:space="preserve"> </w:t>
      </w:r>
      <w:r w:rsidRPr="00937B78">
        <w:rPr>
          <w:rFonts w:ascii="Arial" w:hAnsi="Arial" w:cs="Arial"/>
          <w:lang w:val="en-GB"/>
        </w:rPr>
        <w:t>Ibid.</w:t>
      </w:r>
    </w:p>
  </w:footnote>
  <w:footnote w:id="8">
    <w:p w14:paraId="54AAF343" w14:textId="77777777" w:rsidR="002D6AF6" w:rsidRPr="00937B78" w:rsidRDefault="002D6AF6" w:rsidP="002D6AF6">
      <w:pPr>
        <w:pStyle w:val="FootnoteText"/>
        <w:rPr>
          <w:rFonts w:ascii="Arial" w:hAnsi="Arial" w:cs="Arial"/>
          <w:lang w:val="en-GB"/>
        </w:rPr>
      </w:pPr>
      <w:r w:rsidRPr="00937B78">
        <w:rPr>
          <w:rStyle w:val="FootnoteReference"/>
          <w:rFonts w:ascii="Arial" w:hAnsi="Arial" w:cs="Arial"/>
        </w:rPr>
        <w:footnoteRef/>
      </w:r>
      <w:r w:rsidRPr="00937B78">
        <w:rPr>
          <w:rFonts w:ascii="Arial" w:hAnsi="Arial" w:cs="Arial"/>
        </w:rPr>
        <w:t xml:space="preserve"> </w:t>
      </w:r>
      <w:r w:rsidRPr="00937B78">
        <w:rPr>
          <w:rFonts w:ascii="Arial" w:hAnsi="Arial" w:cs="Arial"/>
          <w:lang w:val="en-GB"/>
        </w:rPr>
        <w:t>Ibid.</w:t>
      </w:r>
    </w:p>
  </w:footnote>
  <w:footnote w:id="9">
    <w:p w14:paraId="28374EC9" w14:textId="4840D0B3" w:rsidR="00D16C20" w:rsidRPr="00937B78" w:rsidRDefault="00D16C20">
      <w:pPr>
        <w:pStyle w:val="FootnoteText"/>
        <w:rPr>
          <w:rFonts w:ascii="Arial" w:hAnsi="Arial" w:cs="Arial"/>
          <w:highlight w:val="yellow"/>
          <w:lang w:val="en-GB"/>
        </w:rPr>
      </w:pPr>
      <w:r w:rsidRPr="00937B78">
        <w:rPr>
          <w:rStyle w:val="FootnoteReference"/>
          <w:rFonts w:ascii="Arial" w:hAnsi="Arial" w:cs="Arial"/>
        </w:rPr>
        <w:footnoteRef/>
      </w:r>
      <w:r w:rsidRPr="00937B78">
        <w:rPr>
          <w:rFonts w:ascii="Arial" w:hAnsi="Arial" w:cs="Arial"/>
        </w:rPr>
        <w:t xml:space="preserve">  </w:t>
      </w:r>
      <w:r w:rsidRPr="00937B78">
        <w:rPr>
          <w:rFonts w:ascii="Arial" w:hAnsi="Arial" w:cs="Arial"/>
          <w:i/>
          <w:iCs/>
        </w:rPr>
        <w:t>Daly v</w:t>
      </w:r>
      <w:r w:rsidR="00943F3C">
        <w:rPr>
          <w:rFonts w:ascii="Arial" w:hAnsi="Arial" w:cs="Arial"/>
          <w:i/>
          <w:iCs/>
        </w:rPr>
        <w:t>.</w:t>
      </w:r>
      <w:r w:rsidRPr="00937B78">
        <w:rPr>
          <w:rFonts w:ascii="Arial" w:hAnsi="Arial" w:cs="Arial"/>
          <w:i/>
          <w:iCs/>
        </w:rPr>
        <w:t xml:space="preserve"> Lynch</w:t>
      </w:r>
      <w:r w:rsidRPr="00937B78">
        <w:rPr>
          <w:rFonts w:ascii="Arial" w:hAnsi="Arial" w:cs="Arial"/>
        </w:rPr>
        <w:t xml:space="preserve"> (Unreported) 28 March 2012</w:t>
      </w:r>
      <w:r w:rsidR="002E06B9" w:rsidRPr="00937B78">
        <w:rPr>
          <w:rFonts w:ascii="Arial" w:hAnsi="Arial" w:cs="Arial"/>
        </w:rPr>
        <w:t>.</w:t>
      </w:r>
    </w:p>
  </w:footnote>
  <w:footnote w:id="10">
    <w:p w14:paraId="1F92F45F" w14:textId="416B7373" w:rsidR="00AE61E9" w:rsidRPr="00937B78" w:rsidRDefault="00AE61E9">
      <w:pPr>
        <w:pStyle w:val="FootnoteText"/>
        <w:rPr>
          <w:rFonts w:ascii="Arial" w:hAnsi="Arial" w:cs="Arial"/>
          <w:lang w:val="en-GB"/>
        </w:rPr>
      </w:pPr>
      <w:r w:rsidRPr="00937B78">
        <w:rPr>
          <w:rStyle w:val="FootnoteReference"/>
          <w:rFonts w:ascii="Arial" w:hAnsi="Arial" w:cs="Arial"/>
        </w:rPr>
        <w:footnoteRef/>
      </w:r>
      <w:r w:rsidRPr="00937B78">
        <w:rPr>
          <w:rFonts w:ascii="Arial" w:hAnsi="Arial" w:cs="Arial"/>
        </w:rPr>
        <w:t xml:space="preserve"> </w:t>
      </w:r>
      <w:hyperlink r:id="rId5" w:anchor="vid/902352485" w:history="1">
        <w:r w:rsidRPr="00937B78">
          <w:rPr>
            <w:rStyle w:val="Hyperlink"/>
            <w:rFonts w:ascii="Arial" w:hAnsi="Arial" w:cs="Arial"/>
            <w:i/>
            <w:iCs/>
          </w:rPr>
          <w:t>Trafalgar Developments Ltd, Instantania Holdings Ltd, Kamara Ltd and Bairiki Incorporated v</w:t>
        </w:r>
        <w:r w:rsidR="00943F3C">
          <w:rPr>
            <w:rStyle w:val="Hyperlink"/>
            <w:rFonts w:ascii="Arial" w:hAnsi="Arial" w:cs="Arial"/>
            <w:i/>
            <w:iCs/>
          </w:rPr>
          <w:t>.</w:t>
        </w:r>
        <w:r w:rsidRPr="00937B78">
          <w:rPr>
            <w:rStyle w:val="Hyperlink"/>
            <w:rFonts w:ascii="Arial" w:hAnsi="Arial" w:cs="Arial"/>
            <w:i/>
            <w:iCs/>
          </w:rPr>
          <w:t xml:space="preserve"> Dmitry Mazepin, OJSC United Chemical Company Uralchem, &amp; Ors</w:t>
        </w:r>
        <w:r w:rsidRPr="00937B78">
          <w:rPr>
            <w:rStyle w:val="Hyperlink"/>
            <w:rFonts w:ascii="Arial" w:hAnsi="Arial" w:cs="Arial"/>
          </w:rPr>
          <w:t xml:space="preserve"> [2022] IEHC 167</w:t>
        </w:r>
      </w:hyperlink>
    </w:p>
  </w:footnote>
  <w:footnote w:id="11">
    <w:p w14:paraId="385F6251" w14:textId="14FDBE2B" w:rsidR="005C7372" w:rsidRPr="00937B78" w:rsidRDefault="005C7372">
      <w:pPr>
        <w:pStyle w:val="FootnoteText"/>
        <w:rPr>
          <w:rFonts w:ascii="Arial" w:hAnsi="Arial" w:cs="Arial"/>
          <w:lang w:val="en-GB"/>
        </w:rPr>
      </w:pPr>
      <w:r w:rsidRPr="00937B78">
        <w:rPr>
          <w:rStyle w:val="FootnoteReference"/>
          <w:rFonts w:ascii="Arial" w:hAnsi="Arial" w:cs="Arial"/>
        </w:rPr>
        <w:footnoteRef/>
      </w:r>
      <w:r w:rsidRPr="00937B78">
        <w:rPr>
          <w:rFonts w:ascii="Arial" w:hAnsi="Arial" w:cs="Arial"/>
        </w:rPr>
        <w:t xml:space="preserve"> </w:t>
      </w:r>
      <w:hyperlink r:id="rId6" w:history="1">
        <w:r w:rsidR="00EC23BA" w:rsidRPr="00937B78">
          <w:rPr>
            <w:rStyle w:val="Hyperlink"/>
            <w:rFonts w:ascii="Arial" w:hAnsi="Arial" w:cs="Arial"/>
          </w:rPr>
          <w:t>D’Aloia v. (1) Persons Unknown (2) Binance Holdings Limited &amp; Others [2022] E</w:t>
        </w:r>
        <w:r w:rsidR="002A5296" w:rsidRPr="00937B78">
          <w:rPr>
            <w:rStyle w:val="Hyperlink"/>
            <w:rFonts w:ascii="Arial" w:hAnsi="Arial" w:cs="Arial"/>
          </w:rPr>
          <w:t>WHC 1723.</w:t>
        </w:r>
      </w:hyperlink>
    </w:p>
  </w:footnote>
  <w:footnote w:id="12">
    <w:p w14:paraId="1BD6AC2A" w14:textId="73B70A36" w:rsidR="000969C2" w:rsidRPr="00E326B0" w:rsidRDefault="000969C2">
      <w:pPr>
        <w:pStyle w:val="FootnoteText"/>
        <w:rPr>
          <w:rFonts w:ascii="Arial" w:hAnsi="Arial" w:cs="Arial"/>
          <w:lang w:val="en-GB"/>
        </w:rPr>
      </w:pPr>
      <w:r w:rsidRPr="00E326B0">
        <w:rPr>
          <w:rStyle w:val="FootnoteReference"/>
          <w:rFonts w:ascii="Arial" w:hAnsi="Arial" w:cs="Arial"/>
        </w:rPr>
        <w:footnoteRef/>
      </w:r>
      <w:r w:rsidRPr="00E326B0">
        <w:rPr>
          <w:rFonts w:ascii="Arial" w:hAnsi="Arial" w:cs="Arial"/>
        </w:rPr>
        <w:t xml:space="preserve"> </w:t>
      </w:r>
      <w:r w:rsidR="007B4AE6" w:rsidRPr="00E326B0">
        <w:rPr>
          <w:rFonts w:ascii="Arial" w:hAnsi="Arial" w:cs="Arial"/>
        </w:rPr>
        <w:t>CJEU, Artificial Intelligence Strategy (2022).</w:t>
      </w:r>
    </w:p>
  </w:footnote>
  <w:footnote w:id="13">
    <w:p w14:paraId="2B32C3C8" w14:textId="4879DB11" w:rsidR="002730A7" w:rsidRPr="002730A7" w:rsidRDefault="002730A7">
      <w:pPr>
        <w:pStyle w:val="FootnoteText"/>
        <w:rPr>
          <w:lang w:val="en-GB"/>
        </w:rPr>
      </w:pPr>
      <w:r>
        <w:rPr>
          <w:rStyle w:val="FootnoteReference"/>
        </w:rPr>
        <w:footnoteRef/>
      </w:r>
      <w:r>
        <w:t xml:space="preserve"> </w:t>
      </w:r>
      <w:r>
        <w:rPr>
          <w:lang w:val="en-GB"/>
        </w:rPr>
        <w:t>Ibid.</w:t>
      </w:r>
    </w:p>
  </w:footnote>
  <w:footnote w:id="14">
    <w:p w14:paraId="665AE315" w14:textId="77EE9B0B" w:rsidR="0004565C" w:rsidRPr="0004565C" w:rsidRDefault="0004565C">
      <w:pPr>
        <w:pStyle w:val="FootnoteText"/>
        <w:rPr>
          <w:lang w:val="en-GB"/>
        </w:rPr>
      </w:pPr>
      <w:r>
        <w:rPr>
          <w:rStyle w:val="FootnoteReference"/>
        </w:rPr>
        <w:footnoteRef/>
      </w:r>
      <w:r>
        <w:t xml:space="preserve"> </w:t>
      </w:r>
      <w:r w:rsidR="0015523B" w:rsidRPr="0015523B">
        <w:rPr>
          <w:rFonts w:ascii="Arial" w:hAnsi="Arial" w:cs="Arial"/>
        </w:rPr>
        <w:t xml:space="preserve">Daniel Kahneman, Olivier Sibony and Cass Sunstein, </w:t>
      </w:r>
      <w:r w:rsidR="0015523B" w:rsidRPr="0015523B">
        <w:rPr>
          <w:rFonts w:ascii="Arial" w:hAnsi="Arial" w:cs="Arial"/>
          <w:i/>
        </w:rPr>
        <w:t xml:space="preserve">Noise - A Flaw in Human Judgment </w:t>
      </w:r>
      <w:r w:rsidR="0015523B" w:rsidRPr="0015523B">
        <w:rPr>
          <w:rFonts w:ascii="Arial" w:hAnsi="Arial" w:cs="Arial"/>
        </w:rPr>
        <w:t>(William Collins 2021).</w:t>
      </w:r>
    </w:p>
  </w:footnote>
  <w:footnote w:id="15">
    <w:p w14:paraId="64E8992E" w14:textId="16985509" w:rsidR="00E326B0" w:rsidRPr="00E326B0" w:rsidRDefault="00E326B0">
      <w:pPr>
        <w:pStyle w:val="FootnoteText"/>
        <w:rPr>
          <w:rFonts w:ascii="Arial" w:hAnsi="Arial" w:cs="Arial"/>
          <w:lang w:val="en-GB"/>
        </w:rPr>
      </w:pPr>
      <w:r>
        <w:rPr>
          <w:rStyle w:val="FootnoteReference"/>
        </w:rPr>
        <w:footnoteRef/>
      </w:r>
      <w:r>
        <w:t xml:space="preserve"> </w:t>
      </w:r>
      <w:r w:rsidRPr="00E326B0">
        <w:rPr>
          <w:rFonts w:ascii="Arial" w:hAnsi="Arial" w:cs="Arial"/>
        </w:rPr>
        <w:t xml:space="preserve">Richard Susskind, </w:t>
      </w:r>
      <w:r w:rsidRPr="00265B6B">
        <w:rPr>
          <w:rFonts w:ascii="Arial" w:hAnsi="Arial" w:cs="Arial"/>
          <w:i/>
          <w:iCs/>
        </w:rPr>
        <w:t>Online Courts and the Future of Justice</w:t>
      </w:r>
      <w:r w:rsidRPr="00E326B0">
        <w:rPr>
          <w:rFonts w:ascii="Arial" w:hAnsi="Arial" w:cs="Arial"/>
        </w:rPr>
        <w:t xml:space="preserve"> (Oxford, Oxford University Press, 2019) ch 28.</w:t>
      </w:r>
    </w:p>
  </w:footnote>
  <w:footnote w:id="16">
    <w:p w14:paraId="4AF70536" w14:textId="135D587B" w:rsidR="005E6A68" w:rsidRPr="00937B78" w:rsidRDefault="005E6A68">
      <w:pPr>
        <w:pStyle w:val="FootnoteText"/>
        <w:rPr>
          <w:rFonts w:ascii="Arial" w:hAnsi="Arial" w:cs="Arial"/>
          <w:lang w:val="en-GB"/>
        </w:rPr>
      </w:pPr>
      <w:r w:rsidRPr="00937B78">
        <w:rPr>
          <w:rStyle w:val="FootnoteReference"/>
          <w:rFonts w:ascii="Arial" w:hAnsi="Arial" w:cs="Arial"/>
        </w:rPr>
        <w:footnoteRef/>
      </w:r>
      <w:r w:rsidRPr="00937B78">
        <w:rPr>
          <w:rFonts w:ascii="Arial" w:hAnsi="Arial" w:cs="Arial"/>
        </w:rPr>
        <w:t xml:space="preserve"> Joshua Park, 'Your Honor, AI' (2020) Spring Harvard International Review 46–48</w:t>
      </w:r>
    </w:p>
  </w:footnote>
  <w:footnote w:id="17">
    <w:p w14:paraId="5E314037" w14:textId="2143669E" w:rsidR="005E6A68" w:rsidRPr="00937B78" w:rsidRDefault="005E6A68" w:rsidP="006A5A06">
      <w:pPr>
        <w:pStyle w:val="FootnoteText"/>
        <w:rPr>
          <w:rFonts w:ascii="Arial" w:hAnsi="Arial" w:cs="Arial"/>
        </w:rPr>
      </w:pPr>
      <w:r w:rsidRPr="00937B78">
        <w:rPr>
          <w:rStyle w:val="FootnoteReference"/>
          <w:rFonts w:ascii="Arial" w:hAnsi="Arial" w:cs="Arial"/>
        </w:rPr>
        <w:footnoteRef/>
      </w:r>
      <w:r w:rsidRPr="00937B78">
        <w:rPr>
          <w:rFonts w:ascii="Arial" w:hAnsi="Arial" w:cs="Arial"/>
        </w:rPr>
        <w:t xml:space="preserve"> </w:t>
      </w:r>
      <w:r w:rsidR="006A5A06" w:rsidRPr="00937B78">
        <w:rPr>
          <w:rFonts w:ascii="Arial" w:hAnsi="Arial" w:cs="Arial"/>
        </w:rPr>
        <w:t>Ray Worthy Campbell, 'Artificial Intelligence in the Courtroom: The Delivery of Justice in the Age of Machine Learning' (2020) 18 Colorado Technology Law Journal 323</w:t>
      </w:r>
    </w:p>
  </w:footnote>
  <w:footnote w:id="18">
    <w:p w14:paraId="59066BBA" w14:textId="63B8ACBA" w:rsidR="006A5A06" w:rsidRPr="00937B78" w:rsidRDefault="006A5A06" w:rsidP="00B62AB8">
      <w:pPr>
        <w:pStyle w:val="FootnoteText"/>
        <w:rPr>
          <w:rFonts w:ascii="Arial" w:hAnsi="Arial" w:cs="Arial"/>
        </w:rPr>
      </w:pPr>
      <w:r w:rsidRPr="00937B78">
        <w:rPr>
          <w:rStyle w:val="FootnoteReference"/>
          <w:rFonts w:ascii="Arial" w:hAnsi="Arial" w:cs="Arial"/>
        </w:rPr>
        <w:footnoteRef/>
      </w:r>
      <w:r w:rsidRPr="00937B78">
        <w:rPr>
          <w:rFonts w:ascii="Arial" w:hAnsi="Arial" w:cs="Arial"/>
        </w:rPr>
        <w:t xml:space="preserve"> </w:t>
      </w:r>
      <w:r w:rsidR="00715A40" w:rsidRPr="00937B78">
        <w:rPr>
          <w:rFonts w:ascii="Arial" w:hAnsi="Arial" w:cs="Arial"/>
        </w:rPr>
        <w:t xml:space="preserve">Aziz Z. Huq, Racial Equity In Algorithmic Criminal Justice </w:t>
      </w:r>
      <w:r w:rsidR="00B62AB8" w:rsidRPr="00937B78">
        <w:rPr>
          <w:rFonts w:ascii="Arial" w:hAnsi="Arial" w:cs="Arial"/>
        </w:rPr>
        <w:t>(2019) 68(6) Duke Law Journal</w:t>
      </w:r>
      <w:r w:rsidR="005E6586" w:rsidRPr="00937B78">
        <w:rPr>
          <w:rFonts w:ascii="Arial" w:hAnsi="Arial" w:cs="Arial"/>
        </w:rPr>
        <w:t xml:space="preserve"> 1044.</w:t>
      </w:r>
    </w:p>
  </w:footnote>
  <w:footnote w:id="19">
    <w:p w14:paraId="05D45FB3" w14:textId="77777777" w:rsidR="00214EC0" w:rsidRPr="00243DB7" w:rsidRDefault="00214EC0" w:rsidP="00214EC0">
      <w:pPr>
        <w:pStyle w:val="FootnoteText"/>
        <w:rPr>
          <w:lang w:val="en-GB"/>
        </w:rPr>
      </w:pPr>
      <w:r>
        <w:rPr>
          <w:rStyle w:val="FootnoteReference"/>
        </w:rPr>
        <w:footnoteRef/>
      </w:r>
      <w:r>
        <w:t xml:space="preserve"> </w:t>
      </w:r>
      <w:r w:rsidRPr="00176634">
        <w:rPr>
          <w:rFonts w:ascii="Arial" w:hAnsi="Arial" w:cs="Arial"/>
        </w:rPr>
        <w:t>John Tasioulas, ‘The Rule of Algorithm and the Rule of Law’ (Vienna Lectures on Legal Philosophy, 2023).</w:t>
      </w:r>
    </w:p>
  </w:footnote>
  <w:footnote w:id="20">
    <w:p w14:paraId="21F77BD2" w14:textId="1CAD1187" w:rsidR="009808DA" w:rsidRPr="00937B78" w:rsidRDefault="009808DA">
      <w:pPr>
        <w:pStyle w:val="FootnoteText"/>
        <w:rPr>
          <w:rFonts w:ascii="Arial" w:hAnsi="Arial" w:cs="Arial"/>
          <w:lang w:val="en-GB"/>
        </w:rPr>
      </w:pPr>
      <w:r w:rsidRPr="00937B78">
        <w:rPr>
          <w:rStyle w:val="FootnoteReference"/>
          <w:rFonts w:ascii="Arial" w:hAnsi="Arial" w:cs="Arial"/>
        </w:rPr>
        <w:footnoteRef/>
      </w:r>
      <w:r w:rsidRPr="00937B78">
        <w:rPr>
          <w:rFonts w:ascii="Arial" w:hAnsi="Arial" w:cs="Arial"/>
        </w:rPr>
        <w:t xml:space="preserve"> </w:t>
      </w:r>
      <w:r w:rsidRPr="00937B78">
        <w:rPr>
          <w:rFonts w:ascii="Arial" w:hAnsi="Arial" w:cs="Arial"/>
          <w:lang w:val="en-GB"/>
        </w:rPr>
        <w:t>T</w:t>
      </w:r>
      <w:r w:rsidR="00C65625" w:rsidRPr="00937B78">
        <w:rPr>
          <w:rFonts w:ascii="Arial" w:hAnsi="Arial" w:cs="Arial"/>
          <w:lang w:val="en-GB"/>
        </w:rPr>
        <w:t>rinity FLAC, Technology and Access to Justice (Trinity FLAC, 20</w:t>
      </w:r>
      <w:r w:rsidR="006B0A64" w:rsidRPr="00937B78">
        <w:rPr>
          <w:rFonts w:ascii="Arial" w:hAnsi="Arial" w:cs="Arial"/>
          <w:lang w:val="en-GB"/>
        </w:rPr>
        <w:t>20) &lt;</w:t>
      </w:r>
      <w:r w:rsidR="007D653F" w:rsidRPr="00937B78">
        <w:rPr>
          <w:rFonts w:ascii="Arial" w:hAnsi="Arial" w:cs="Arial"/>
        </w:rPr>
        <w:t xml:space="preserve"> </w:t>
      </w:r>
      <w:hyperlink r:id="rId7" w:history="1">
        <w:r w:rsidR="007D653F" w:rsidRPr="00937B78">
          <w:rPr>
            <w:rStyle w:val="Hyperlink"/>
            <w:rFonts w:ascii="Arial" w:hAnsi="Arial" w:cs="Arial"/>
            <w:lang w:val="en-GB"/>
          </w:rPr>
          <w:t>https://trinityflac.files.wordpress.com/2020/09/flac-technology-and-access-to-justice.pdf</w:t>
        </w:r>
      </w:hyperlink>
      <w:r w:rsidR="006B0A64" w:rsidRPr="00937B78">
        <w:rPr>
          <w:rFonts w:ascii="Arial" w:hAnsi="Arial" w:cs="Arial"/>
          <w:lang w:val="en-GB"/>
        </w:rPr>
        <w:t>&gt;</w:t>
      </w:r>
      <w:r w:rsidR="007D653F" w:rsidRPr="00937B78">
        <w:rPr>
          <w:rFonts w:ascii="Arial" w:hAnsi="Arial" w:cs="Arial"/>
          <w:lang w:val="en-GB"/>
        </w:rPr>
        <w:t xml:space="preserve"> </w:t>
      </w:r>
      <w:r w:rsidR="006B0A64" w:rsidRPr="00937B78">
        <w:rPr>
          <w:rFonts w:ascii="Arial" w:hAnsi="Arial" w:cs="Arial"/>
          <w:lang w:val="en-GB"/>
        </w:rPr>
        <w:t>accessed 30 January 202</w:t>
      </w:r>
      <w:r w:rsidR="008A1D68" w:rsidRPr="00937B78">
        <w:rPr>
          <w:rFonts w:ascii="Arial" w:hAnsi="Arial" w:cs="Arial"/>
          <w:lang w:val="en-GB"/>
        </w:rPr>
        <w:t>4</w:t>
      </w:r>
      <w:r w:rsidR="006B0A64" w:rsidRPr="00937B78">
        <w:rPr>
          <w:rFonts w:ascii="Arial" w:hAnsi="Arial" w:cs="Arial"/>
          <w:lang w:val="en-GB"/>
        </w:rPr>
        <w:t>.</w:t>
      </w:r>
    </w:p>
  </w:footnote>
  <w:footnote w:id="21">
    <w:p w14:paraId="199F3EAF" w14:textId="5BD55F64" w:rsidR="0036123F" w:rsidRPr="00937B78" w:rsidRDefault="0036123F">
      <w:pPr>
        <w:pStyle w:val="FootnoteText"/>
        <w:rPr>
          <w:rFonts w:ascii="Arial" w:hAnsi="Arial" w:cs="Arial"/>
          <w:lang w:val="en-GB"/>
        </w:rPr>
      </w:pPr>
      <w:r w:rsidRPr="00937B78">
        <w:rPr>
          <w:rStyle w:val="FootnoteReference"/>
          <w:rFonts w:ascii="Arial" w:hAnsi="Arial" w:cs="Arial"/>
        </w:rPr>
        <w:footnoteRef/>
      </w:r>
      <w:r w:rsidRPr="00937B78">
        <w:rPr>
          <w:rFonts w:ascii="Arial" w:hAnsi="Arial" w:cs="Arial"/>
        </w:rPr>
        <w:t xml:space="preserve"> </w:t>
      </w:r>
      <w:r w:rsidR="00943F3C">
        <w:rPr>
          <w:rFonts w:ascii="Arial" w:hAnsi="Arial" w:cs="Arial"/>
          <w:lang w:val="en-GB"/>
        </w:rPr>
        <w:t>I</w:t>
      </w:r>
      <w:r w:rsidRPr="00937B78">
        <w:rPr>
          <w:rFonts w:ascii="Arial" w:hAnsi="Arial" w:cs="Arial"/>
          <w:lang w:val="en-GB"/>
        </w:rPr>
        <w:t>bid</w:t>
      </w:r>
    </w:p>
  </w:footnote>
  <w:footnote w:id="22">
    <w:p w14:paraId="60340B9F" w14:textId="7EC24249" w:rsidR="0036123F" w:rsidRPr="00937B78" w:rsidRDefault="0036123F">
      <w:pPr>
        <w:pStyle w:val="FootnoteText"/>
        <w:rPr>
          <w:rFonts w:ascii="Arial" w:hAnsi="Arial" w:cs="Arial"/>
          <w:lang w:val="en-GB"/>
        </w:rPr>
      </w:pPr>
      <w:r w:rsidRPr="00937B78">
        <w:rPr>
          <w:rStyle w:val="FootnoteReference"/>
          <w:rFonts w:ascii="Arial" w:hAnsi="Arial" w:cs="Arial"/>
        </w:rPr>
        <w:footnoteRef/>
      </w:r>
      <w:r w:rsidRPr="00937B78">
        <w:rPr>
          <w:rFonts w:ascii="Arial" w:hAnsi="Arial" w:cs="Arial"/>
        </w:rPr>
        <w:t xml:space="preserve"> </w:t>
      </w:r>
      <w:r w:rsidR="004827D1" w:rsidRPr="00937B78">
        <w:rPr>
          <w:rFonts w:ascii="Arial" w:hAnsi="Arial" w:cs="Arial"/>
        </w:rPr>
        <w:t>Law Society of England and Wales, Technology, Access to Justice and the Rule of Law: Is Technology the Key to Unlocking Access to Justice Innovation? (Law Society of England and Wales 2019), 11</w:t>
      </w:r>
      <w:r w:rsidR="008A1D68" w:rsidRPr="00937B78">
        <w:rPr>
          <w:rFonts w:ascii="Arial" w:hAnsi="Arial" w:cs="Arial"/>
        </w:rPr>
        <w:t xml:space="preserve"> &lt; </w:t>
      </w:r>
      <w:hyperlink r:id="rId8" w:history="1">
        <w:r w:rsidR="008A1D68" w:rsidRPr="00937B78">
          <w:rPr>
            <w:rStyle w:val="Hyperlink"/>
            <w:rFonts w:ascii="Arial" w:hAnsi="Arial" w:cs="Arial"/>
          </w:rPr>
          <w:t>https://prdsitecore93.azureedge.net/-/media/files/topics/research/technology-access-to-justice-rule-of-law-report.pdf?rev=313f921776ce46d9b28e9bfa1ef65b13&amp;hash=F97398618A38ED6FA8B589A503F7AD3D</w:t>
        </w:r>
      </w:hyperlink>
      <w:r w:rsidR="008A1D68" w:rsidRPr="00937B78">
        <w:rPr>
          <w:rFonts w:ascii="Arial" w:hAnsi="Arial" w:cs="Arial"/>
        </w:rPr>
        <w:t xml:space="preserve">&gt;  accessed 30 January 2024. </w:t>
      </w:r>
    </w:p>
  </w:footnote>
  <w:footnote w:id="23">
    <w:p w14:paraId="2DB6C616" w14:textId="653B8531" w:rsidR="0051586B" w:rsidRPr="00937B78" w:rsidRDefault="0051586B">
      <w:pPr>
        <w:pStyle w:val="FootnoteText"/>
        <w:rPr>
          <w:rFonts w:ascii="Arial" w:hAnsi="Arial" w:cs="Arial"/>
          <w:lang w:val="en-GB"/>
        </w:rPr>
      </w:pPr>
      <w:r w:rsidRPr="00937B78">
        <w:rPr>
          <w:rStyle w:val="FootnoteReference"/>
          <w:rFonts w:ascii="Arial" w:hAnsi="Arial" w:cs="Arial"/>
        </w:rPr>
        <w:footnoteRef/>
      </w:r>
      <w:r w:rsidRPr="00937B78">
        <w:rPr>
          <w:rFonts w:ascii="Arial" w:hAnsi="Arial" w:cs="Arial"/>
        </w:rPr>
        <w:t xml:space="preserve"> </w:t>
      </w:r>
      <w:r w:rsidR="009541B3" w:rsidRPr="00937B78">
        <w:rPr>
          <w:rFonts w:ascii="Arial" w:hAnsi="Arial" w:cs="Arial"/>
          <w:lang w:val="en-GB"/>
        </w:rPr>
        <w:t>Courts Service, ‘</w:t>
      </w:r>
      <w:r w:rsidR="004A51F1" w:rsidRPr="00937B78">
        <w:rPr>
          <w:rFonts w:ascii="Arial" w:hAnsi="Arial" w:cs="Arial"/>
          <w:lang w:val="en-GB"/>
        </w:rPr>
        <w:t>Launch of new Family Law information resource with interactive 360 Virtual Tours funded by the Public Service Innovation Fund’ (Courts Service, 30 March 2023 &lt;</w:t>
      </w:r>
      <w:r w:rsidR="00E0270F" w:rsidRPr="00937B78">
        <w:rPr>
          <w:rFonts w:ascii="Arial" w:hAnsi="Arial" w:cs="Arial"/>
        </w:rPr>
        <w:t xml:space="preserve"> </w:t>
      </w:r>
      <w:hyperlink r:id="rId9" w:history="1">
        <w:r w:rsidR="00E0270F" w:rsidRPr="00937B78">
          <w:rPr>
            <w:rStyle w:val="Hyperlink"/>
            <w:rFonts w:ascii="Arial" w:hAnsi="Arial" w:cs="Arial"/>
            <w:lang w:val="en-GB"/>
          </w:rPr>
          <w:t>https://courts.ie/content/launch-new-family-law-information-resource-interactive-360-virtual-tours-funded-public</w:t>
        </w:r>
      </w:hyperlink>
      <w:r w:rsidR="004A51F1" w:rsidRPr="00937B78">
        <w:rPr>
          <w:rFonts w:ascii="Arial" w:hAnsi="Arial" w:cs="Arial"/>
          <w:lang w:val="en-GB"/>
        </w:rPr>
        <w:t>&gt;</w:t>
      </w:r>
      <w:r w:rsidR="00E0270F" w:rsidRPr="00937B78">
        <w:rPr>
          <w:rFonts w:ascii="Arial" w:hAnsi="Arial" w:cs="Arial"/>
          <w:lang w:val="en-GB"/>
        </w:rPr>
        <w:t xml:space="preserve"> </w:t>
      </w:r>
      <w:r w:rsidR="004A51F1" w:rsidRPr="00937B78">
        <w:rPr>
          <w:rFonts w:ascii="Arial" w:hAnsi="Arial" w:cs="Arial"/>
          <w:lang w:val="en-GB"/>
        </w:rPr>
        <w:t xml:space="preserve"> accessed 30 January 2023.</w:t>
      </w:r>
    </w:p>
  </w:footnote>
  <w:footnote w:id="24">
    <w:p w14:paraId="07F4A86E" w14:textId="057411C4" w:rsidR="005A1024" w:rsidRPr="00937B78" w:rsidRDefault="005A1024" w:rsidP="00347610">
      <w:pPr>
        <w:pStyle w:val="FootnoteText"/>
        <w:rPr>
          <w:rFonts w:ascii="Arial" w:hAnsi="Arial" w:cs="Arial"/>
          <w:lang w:val="en-GB"/>
        </w:rPr>
      </w:pPr>
      <w:r w:rsidRPr="00937B78">
        <w:rPr>
          <w:rStyle w:val="FootnoteReference"/>
          <w:rFonts w:ascii="Arial" w:hAnsi="Arial" w:cs="Arial"/>
        </w:rPr>
        <w:footnoteRef/>
      </w:r>
      <w:r w:rsidRPr="00937B78">
        <w:rPr>
          <w:rFonts w:ascii="Arial" w:hAnsi="Arial" w:cs="Arial"/>
        </w:rPr>
        <w:t xml:space="preserve"> </w:t>
      </w:r>
      <w:hyperlink r:id="rId10" w:anchor=":~:text=To%20briefly%20synopsise%20the%20findings,proceedings%20using%20video%2Dconferencing%20technologies." w:history="1">
        <w:r w:rsidR="00E0270F" w:rsidRPr="00937B78">
          <w:rPr>
            <w:rStyle w:val="Hyperlink"/>
            <w:rFonts w:ascii="Arial" w:hAnsi="Arial" w:cs="Arial"/>
            <w:lang w:val="en-GB"/>
          </w:rPr>
          <w:t xml:space="preserve">Brian Barry and </w:t>
        </w:r>
        <w:proofErr w:type="spellStart"/>
        <w:r w:rsidR="00E0270F" w:rsidRPr="00937B78">
          <w:rPr>
            <w:rStyle w:val="Hyperlink"/>
            <w:rFonts w:ascii="Arial" w:hAnsi="Arial" w:cs="Arial"/>
            <w:lang w:val="en-GB"/>
          </w:rPr>
          <w:t>Ronán</w:t>
        </w:r>
        <w:proofErr w:type="spellEnd"/>
        <w:r w:rsidR="00E0270F" w:rsidRPr="00937B78">
          <w:rPr>
            <w:rStyle w:val="Hyperlink"/>
            <w:rFonts w:ascii="Arial" w:hAnsi="Arial" w:cs="Arial"/>
            <w:lang w:val="en-GB"/>
          </w:rPr>
          <w:t xml:space="preserve"> Kennedy</w:t>
        </w:r>
        <w:r w:rsidR="00347610" w:rsidRPr="00937B78">
          <w:rPr>
            <w:rStyle w:val="Hyperlink"/>
            <w:rFonts w:ascii="Arial" w:hAnsi="Arial" w:cs="Arial"/>
            <w:lang w:val="en-GB"/>
          </w:rPr>
          <w:t>, ‘Views Of The Irish Judiciary On Technology In Courts: Results Of A Survey’ (2023</w:t>
        </w:r>
        <w:r w:rsidR="002B2E88" w:rsidRPr="00937B78">
          <w:rPr>
            <w:rStyle w:val="Hyperlink"/>
            <w:rFonts w:ascii="Arial" w:hAnsi="Arial" w:cs="Arial"/>
            <w:lang w:val="en-GB"/>
          </w:rPr>
          <w:t>) 1 IJSJ 26.</w:t>
        </w:r>
      </w:hyperlink>
      <w:r w:rsidR="002B2E88" w:rsidRPr="00937B78">
        <w:rPr>
          <w:rFonts w:ascii="Arial" w:hAnsi="Arial" w:cs="Arial"/>
          <w:lang w:val="en-GB"/>
        </w:rPr>
        <w:t xml:space="preserve"> </w:t>
      </w:r>
    </w:p>
  </w:footnote>
  <w:footnote w:id="25">
    <w:p w14:paraId="23360C33" w14:textId="3FB2BE89" w:rsidR="003A7DC7" w:rsidRPr="00937B78" w:rsidRDefault="003A7DC7">
      <w:pPr>
        <w:pStyle w:val="FootnoteText"/>
        <w:rPr>
          <w:rFonts w:ascii="Arial" w:hAnsi="Arial" w:cs="Arial"/>
          <w:lang w:val="en-GB"/>
        </w:rPr>
      </w:pPr>
      <w:r w:rsidRPr="00937B78">
        <w:rPr>
          <w:rStyle w:val="FootnoteReference"/>
          <w:rFonts w:ascii="Arial" w:hAnsi="Arial" w:cs="Arial"/>
        </w:rPr>
        <w:footnoteRef/>
      </w:r>
      <w:r w:rsidRPr="00937B78">
        <w:rPr>
          <w:rFonts w:ascii="Arial" w:hAnsi="Arial" w:cs="Arial"/>
        </w:rPr>
        <w:t xml:space="preserve"> </w:t>
      </w:r>
      <w:r w:rsidRPr="00937B78">
        <w:rPr>
          <w:rFonts w:ascii="Arial" w:hAnsi="Arial" w:cs="Arial"/>
          <w:lang w:val="en-GB"/>
        </w:rPr>
        <w:t>Lorna Woods, ‘</w:t>
      </w:r>
      <w:r w:rsidR="000059AE" w:rsidRPr="00937B78">
        <w:rPr>
          <w:rFonts w:ascii="Arial" w:hAnsi="Arial" w:cs="Arial"/>
          <w:lang w:val="en-GB"/>
        </w:rPr>
        <w:t>Disinformation In An Information Age: Ireland's Response To A Global Challenge’ (2021) 20(1) Hibernian Law Journal 190-193.</w:t>
      </w:r>
    </w:p>
  </w:footnote>
  <w:footnote w:id="26">
    <w:p w14:paraId="68EDBE20" w14:textId="4D01D809" w:rsidR="00110FD5" w:rsidRPr="00937B78" w:rsidRDefault="00110FD5">
      <w:pPr>
        <w:pStyle w:val="FootnoteText"/>
        <w:rPr>
          <w:rFonts w:ascii="Arial" w:hAnsi="Arial" w:cs="Arial"/>
          <w:highlight w:val="yellow"/>
          <w:lang w:val="en-GB"/>
        </w:rPr>
      </w:pPr>
      <w:r w:rsidRPr="00937B78">
        <w:rPr>
          <w:rStyle w:val="FootnoteReference"/>
          <w:rFonts w:ascii="Arial" w:hAnsi="Arial" w:cs="Arial"/>
        </w:rPr>
        <w:footnoteRef/>
      </w:r>
      <w:r w:rsidRPr="00937B78">
        <w:rPr>
          <w:rFonts w:ascii="Arial" w:hAnsi="Arial" w:cs="Arial"/>
        </w:rPr>
        <w:t xml:space="preserve"> </w:t>
      </w:r>
      <w:r w:rsidR="00DD00F8" w:rsidRPr="00937B78">
        <w:rPr>
          <w:rFonts w:ascii="Arial" w:hAnsi="Arial" w:cs="Arial"/>
          <w:lang w:val="en-GB"/>
        </w:rPr>
        <w:t>For example see Hibaq Farah, ‘</w:t>
      </w:r>
      <w:hyperlink r:id="rId11" w:history="1">
        <w:r w:rsidR="006A2E17" w:rsidRPr="00937B78">
          <w:rPr>
            <w:rStyle w:val="Hyperlink"/>
            <w:rFonts w:ascii="Arial" w:hAnsi="Arial" w:cs="Arial"/>
            <w:lang w:val="en-GB"/>
          </w:rPr>
          <w:t>Court of appeal judge praises ‘jolly useful’ ChatGPT after asking it for legal summary</w:t>
        </w:r>
      </w:hyperlink>
      <w:r w:rsidR="006A2E17" w:rsidRPr="00937B78">
        <w:rPr>
          <w:rFonts w:ascii="Arial" w:hAnsi="Arial" w:cs="Arial"/>
          <w:lang w:val="en-GB"/>
        </w:rPr>
        <w:t xml:space="preserve">’ </w:t>
      </w:r>
      <w:r w:rsidR="006A2E17" w:rsidRPr="00937B78">
        <w:rPr>
          <w:rFonts w:ascii="Arial" w:hAnsi="Arial" w:cs="Arial"/>
          <w:i/>
          <w:iCs/>
          <w:lang w:val="en-GB"/>
        </w:rPr>
        <w:t>The Guardian</w:t>
      </w:r>
      <w:r w:rsidR="006A2E17" w:rsidRPr="00937B78">
        <w:rPr>
          <w:rFonts w:ascii="Arial" w:hAnsi="Arial" w:cs="Arial"/>
          <w:lang w:val="en-GB"/>
        </w:rPr>
        <w:t xml:space="preserve"> 15 September 2023.</w:t>
      </w:r>
    </w:p>
  </w:footnote>
  <w:footnote w:id="27">
    <w:p w14:paraId="634B5ABF" w14:textId="1599341D" w:rsidR="00FD225C" w:rsidRPr="00937B78" w:rsidRDefault="00FD225C">
      <w:pPr>
        <w:pStyle w:val="FootnoteText"/>
        <w:rPr>
          <w:rFonts w:ascii="Arial" w:hAnsi="Arial" w:cs="Arial"/>
          <w:lang w:val="en-GB"/>
        </w:rPr>
      </w:pPr>
      <w:r w:rsidRPr="00937B78">
        <w:rPr>
          <w:rStyle w:val="FootnoteReference"/>
          <w:rFonts w:ascii="Arial" w:hAnsi="Arial" w:cs="Arial"/>
        </w:rPr>
        <w:footnoteRef/>
      </w:r>
      <w:r w:rsidRPr="00937B78">
        <w:rPr>
          <w:rFonts w:ascii="Arial" w:hAnsi="Arial" w:cs="Arial"/>
        </w:rPr>
        <w:t xml:space="preserve"> </w:t>
      </w:r>
      <w:r w:rsidR="005E1A00" w:rsidRPr="00937B78">
        <w:rPr>
          <w:rFonts w:ascii="Arial" w:hAnsi="Arial" w:cs="Arial"/>
          <w:lang w:val="en-GB"/>
        </w:rPr>
        <w:t xml:space="preserve">Larry </w:t>
      </w:r>
      <w:proofErr w:type="spellStart"/>
      <w:r w:rsidR="005E1A00" w:rsidRPr="00937B78">
        <w:rPr>
          <w:rFonts w:ascii="Arial" w:hAnsi="Arial" w:cs="Arial"/>
          <w:lang w:val="en-GB"/>
        </w:rPr>
        <w:t>Neumeister</w:t>
      </w:r>
      <w:proofErr w:type="spellEnd"/>
      <w:r w:rsidR="005E1A00" w:rsidRPr="00937B78">
        <w:rPr>
          <w:rFonts w:ascii="Arial" w:hAnsi="Arial" w:cs="Arial"/>
          <w:lang w:val="en-GB"/>
        </w:rPr>
        <w:t>, ‘</w:t>
      </w:r>
      <w:hyperlink r:id="rId12" w:history="1">
        <w:r w:rsidR="005E1A00" w:rsidRPr="00937B78">
          <w:rPr>
            <w:rStyle w:val="Hyperlink"/>
            <w:rFonts w:ascii="Arial" w:hAnsi="Arial" w:cs="Arial"/>
            <w:lang w:val="en-GB"/>
          </w:rPr>
          <w:t>Lawyers submitted bogus case law created by ChatGPT. A judge fined them $5,000’</w:t>
        </w:r>
      </w:hyperlink>
      <w:r w:rsidR="005E1A00" w:rsidRPr="00937B78">
        <w:rPr>
          <w:rFonts w:ascii="Arial" w:hAnsi="Arial" w:cs="Arial"/>
          <w:lang w:val="en-GB"/>
        </w:rPr>
        <w:t xml:space="preserve"> Associated Press 22 June 2023.</w:t>
      </w:r>
    </w:p>
  </w:footnote>
  <w:footnote w:id="28">
    <w:p w14:paraId="7CECC8D4" w14:textId="2AF716AF" w:rsidR="004E3971" w:rsidRPr="00937B78" w:rsidRDefault="004E3971">
      <w:pPr>
        <w:pStyle w:val="FootnoteText"/>
        <w:rPr>
          <w:rFonts w:ascii="Arial" w:hAnsi="Arial" w:cs="Arial"/>
          <w:lang w:val="en-GB"/>
        </w:rPr>
      </w:pPr>
      <w:r w:rsidRPr="00937B78">
        <w:rPr>
          <w:rStyle w:val="FootnoteReference"/>
          <w:rFonts w:ascii="Arial" w:hAnsi="Arial" w:cs="Arial"/>
        </w:rPr>
        <w:footnoteRef/>
      </w:r>
      <w:r w:rsidRPr="00937B78">
        <w:rPr>
          <w:rFonts w:ascii="Arial" w:hAnsi="Arial" w:cs="Arial"/>
        </w:rPr>
        <w:t xml:space="preserve"> </w:t>
      </w:r>
      <w:r w:rsidR="00ED7EA1" w:rsidRPr="00937B78">
        <w:rPr>
          <w:rFonts w:ascii="Arial" w:hAnsi="Arial" w:cs="Arial"/>
        </w:rPr>
        <w:t>Willem Gravett, 'Is the Dawn of the Robot Lawyer Upon Us? The Fourth Industrial Revolution and the Future of Lawyers' (2020) 23 PER: Potchefstroomse Elektroniese Regsblad, 23.</w:t>
      </w:r>
    </w:p>
  </w:footnote>
  <w:footnote w:id="29">
    <w:p w14:paraId="69C1C3A7" w14:textId="4496B6A7" w:rsidR="00F93C3F" w:rsidRPr="00937B78" w:rsidRDefault="00F93C3F" w:rsidP="00783614">
      <w:pPr>
        <w:pStyle w:val="FootnoteText"/>
        <w:rPr>
          <w:rFonts w:ascii="Arial" w:hAnsi="Arial" w:cs="Arial"/>
        </w:rPr>
      </w:pPr>
      <w:r w:rsidRPr="00937B78">
        <w:rPr>
          <w:rStyle w:val="FootnoteReference"/>
          <w:rFonts w:ascii="Arial" w:hAnsi="Arial" w:cs="Arial"/>
        </w:rPr>
        <w:footnoteRef/>
      </w:r>
      <w:r w:rsidRPr="00937B78">
        <w:rPr>
          <w:rFonts w:ascii="Arial" w:hAnsi="Arial" w:cs="Arial"/>
        </w:rPr>
        <w:t xml:space="preserve"> </w:t>
      </w:r>
      <w:r w:rsidR="00783614" w:rsidRPr="00937B78">
        <w:rPr>
          <w:rFonts w:ascii="Arial" w:hAnsi="Arial" w:cs="Arial"/>
        </w:rPr>
        <w:t>Julian Webb, 'Legal Technology: The Great Disruption' (2020) U of Melbourne Legal Studies Research Paper, 8.</w:t>
      </w:r>
    </w:p>
  </w:footnote>
  <w:footnote w:id="30">
    <w:p w14:paraId="4106678E" w14:textId="5D7BA181" w:rsidR="008348CF" w:rsidRPr="00937B78" w:rsidRDefault="008348CF" w:rsidP="00355996">
      <w:pPr>
        <w:pStyle w:val="FootnoteText"/>
        <w:rPr>
          <w:rFonts w:ascii="Arial" w:hAnsi="Arial" w:cs="Arial"/>
        </w:rPr>
      </w:pPr>
      <w:r w:rsidRPr="00937B78">
        <w:rPr>
          <w:rStyle w:val="FootnoteReference"/>
          <w:rFonts w:ascii="Arial" w:hAnsi="Arial" w:cs="Arial"/>
        </w:rPr>
        <w:footnoteRef/>
      </w:r>
      <w:r w:rsidRPr="00937B78">
        <w:rPr>
          <w:rFonts w:ascii="Arial" w:hAnsi="Arial" w:cs="Arial"/>
        </w:rPr>
        <w:t xml:space="preserve"> </w:t>
      </w:r>
      <w:r w:rsidR="00355996" w:rsidRPr="00937B78">
        <w:rPr>
          <w:rFonts w:ascii="Arial" w:hAnsi="Arial" w:cs="Arial"/>
        </w:rPr>
        <w:t>Liu Sida. ‘Boundaries and Professions: Toward a Processual Theory of Action’ (2018) 5(1) Journal of Professions and Organization 45–57.</w:t>
      </w:r>
    </w:p>
  </w:footnote>
  <w:footnote w:id="31">
    <w:p w14:paraId="48030FA2" w14:textId="4588D01C" w:rsidR="00962C48" w:rsidRPr="00937B78" w:rsidRDefault="00962C48">
      <w:pPr>
        <w:pStyle w:val="FootnoteText"/>
        <w:rPr>
          <w:rFonts w:ascii="Arial" w:hAnsi="Arial" w:cs="Arial"/>
          <w:lang w:val="en-GB"/>
        </w:rPr>
      </w:pPr>
      <w:r w:rsidRPr="00937B78">
        <w:rPr>
          <w:rStyle w:val="FootnoteReference"/>
          <w:rFonts w:ascii="Arial" w:hAnsi="Arial" w:cs="Arial"/>
        </w:rPr>
        <w:footnoteRef/>
      </w:r>
      <w:r w:rsidRPr="00937B78">
        <w:rPr>
          <w:rFonts w:ascii="Arial" w:hAnsi="Arial" w:cs="Arial"/>
        </w:rPr>
        <w:t xml:space="preserve"> </w:t>
      </w:r>
      <w:r w:rsidRPr="00937B78">
        <w:rPr>
          <w:rFonts w:ascii="Arial" w:hAnsi="Arial" w:cs="Arial"/>
          <w:lang w:val="en-GB"/>
        </w:rPr>
        <w:t xml:space="preserve">Ibid, p </w:t>
      </w:r>
      <w:r w:rsidR="00FF0578" w:rsidRPr="00937B78">
        <w:rPr>
          <w:rFonts w:ascii="Arial" w:hAnsi="Arial" w:cs="Arial"/>
          <w:lang w:val="en-GB"/>
        </w:rPr>
        <w:t>51.</w:t>
      </w:r>
    </w:p>
  </w:footnote>
  <w:footnote w:id="32">
    <w:p w14:paraId="3370F67B" w14:textId="35533DBE" w:rsidR="003E2CFB" w:rsidRPr="00937B78" w:rsidRDefault="003E2CFB">
      <w:pPr>
        <w:pStyle w:val="FootnoteText"/>
        <w:rPr>
          <w:rFonts w:ascii="Arial" w:hAnsi="Arial" w:cs="Arial"/>
          <w:lang w:val="en-GB"/>
        </w:rPr>
      </w:pPr>
      <w:r w:rsidRPr="00937B78">
        <w:rPr>
          <w:rStyle w:val="FootnoteReference"/>
          <w:rFonts w:ascii="Arial" w:hAnsi="Arial" w:cs="Arial"/>
        </w:rPr>
        <w:footnoteRef/>
      </w:r>
      <w:r w:rsidRPr="00937B78">
        <w:rPr>
          <w:rFonts w:ascii="Arial" w:hAnsi="Arial" w:cs="Arial"/>
        </w:rPr>
        <w:t xml:space="preserve"> </w:t>
      </w:r>
      <w:r w:rsidR="00D850F6" w:rsidRPr="00937B78">
        <w:rPr>
          <w:rFonts w:ascii="Arial" w:hAnsi="Arial" w:cs="Arial"/>
        </w:rPr>
        <w:t xml:space="preserve">Julian Webb, 'Legal Technology: The Great Disruption' (2020) U of Melbourne Legal Studies Research Paper, </w:t>
      </w:r>
      <w:r w:rsidR="008679CF" w:rsidRPr="00937B78">
        <w:rPr>
          <w:rFonts w:ascii="Arial" w:hAnsi="Arial" w:cs="Arial"/>
        </w:rPr>
        <w:t>12</w:t>
      </w:r>
      <w:r w:rsidR="00D850F6" w:rsidRPr="00937B78">
        <w:rPr>
          <w:rFonts w:ascii="Arial" w:hAnsi="Arial" w:cs="Arial"/>
        </w:rPr>
        <w:t>.</w:t>
      </w:r>
    </w:p>
  </w:footnote>
  <w:footnote w:id="33">
    <w:p w14:paraId="1543A3B5" w14:textId="3A48039B" w:rsidR="008E4930" w:rsidRPr="00937B78" w:rsidRDefault="008E4930" w:rsidP="00B126A5">
      <w:pPr>
        <w:pStyle w:val="FootnoteText"/>
        <w:rPr>
          <w:rFonts w:ascii="Arial" w:hAnsi="Arial" w:cs="Arial"/>
        </w:rPr>
      </w:pPr>
      <w:r w:rsidRPr="00937B78">
        <w:rPr>
          <w:rStyle w:val="FootnoteReference"/>
          <w:rFonts w:ascii="Arial" w:hAnsi="Arial" w:cs="Arial"/>
        </w:rPr>
        <w:footnoteRef/>
      </w:r>
      <w:r w:rsidRPr="00937B78">
        <w:rPr>
          <w:rFonts w:ascii="Arial" w:hAnsi="Arial" w:cs="Arial"/>
        </w:rPr>
        <w:t xml:space="preserve"> Rebecca Crootof, 'Cyborg Justice and the Risk of Technological-Legal Lock-in' (2019) 119 Columbia Law Review Forum 233, 235; Pedro Rubim Borges Fortes, 'Paths to Digital Justice: Judicial R</w:t>
      </w:r>
      <w:r w:rsidR="00B126A5" w:rsidRPr="00937B78">
        <w:rPr>
          <w:rFonts w:ascii="Arial" w:hAnsi="Arial" w:cs="Arial"/>
        </w:rPr>
        <w:t>obots, Algorithmic Decision-Making, and Due Process' (2020) 00 Asian Journal of Law and Society 1.</w:t>
      </w:r>
    </w:p>
  </w:footnote>
  <w:footnote w:id="34">
    <w:p w14:paraId="7ECF9FC8" w14:textId="31C175A7" w:rsidR="002F64A7" w:rsidRPr="00937B78" w:rsidRDefault="002F64A7" w:rsidP="002F64A7">
      <w:pPr>
        <w:pStyle w:val="FootnoteText"/>
        <w:rPr>
          <w:rFonts w:ascii="Arial" w:hAnsi="Arial" w:cs="Arial"/>
          <w:lang w:val="en-GB"/>
        </w:rPr>
      </w:pPr>
      <w:r w:rsidRPr="00937B78">
        <w:rPr>
          <w:rStyle w:val="FootnoteReference"/>
          <w:rFonts w:ascii="Arial" w:hAnsi="Arial" w:cs="Arial"/>
        </w:rPr>
        <w:footnoteRef/>
      </w:r>
      <w:r w:rsidRPr="00937B78">
        <w:rPr>
          <w:rFonts w:ascii="Arial" w:hAnsi="Arial" w:cs="Arial"/>
        </w:rPr>
        <w:t xml:space="preserve"> </w:t>
      </w:r>
      <w:r w:rsidR="007972C6" w:rsidRPr="00937B78">
        <w:rPr>
          <w:rFonts w:ascii="Arial" w:hAnsi="Arial" w:cs="Arial"/>
        </w:rPr>
        <w:t>Rónán Kennedy, Algorithms, Big Data and AI in the Irish Legal Services Market</w:t>
      </w:r>
      <w:r w:rsidR="009445F3" w:rsidRPr="00937B78">
        <w:rPr>
          <w:rFonts w:ascii="Arial" w:hAnsi="Arial" w:cs="Arial"/>
        </w:rPr>
        <w:t>’ (Tithe an Oireachtais, Library and Research Service</w:t>
      </w:r>
      <w:r w:rsidR="00C55C03" w:rsidRPr="00937B78">
        <w:rPr>
          <w:rFonts w:ascii="Arial" w:hAnsi="Arial" w:cs="Arial"/>
        </w:rPr>
        <w:t xml:space="preserve">, 2021) </w:t>
      </w:r>
      <w:r w:rsidR="00127220" w:rsidRPr="00937B78">
        <w:rPr>
          <w:rFonts w:ascii="Arial" w:hAnsi="Arial" w:cs="Arial"/>
        </w:rPr>
        <w:t xml:space="preserve">8 &lt; </w:t>
      </w:r>
      <w:hyperlink r:id="rId13" w:history="1">
        <w:r w:rsidR="00127220" w:rsidRPr="00937B78">
          <w:rPr>
            <w:rStyle w:val="Hyperlink"/>
            <w:rFonts w:ascii="Arial" w:hAnsi="Arial" w:cs="Arial"/>
          </w:rPr>
          <w:t>http://icsmlegweb01/alfrescoClient/getnodecontent.ashx?nodeid=fe976ae4-e6ae-4eda-b076-cbd5beed10de&amp;mimeType=application%2fpdf</w:t>
        </w:r>
      </w:hyperlink>
      <w:r w:rsidR="00127220" w:rsidRPr="00937B78">
        <w:rPr>
          <w:rFonts w:ascii="Arial" w:hAnsi="Arial" w:cs="Arial"/>
        </w:rPr>
        <w:t>&gt;  accessed 30 January 2024.</w:t>
      </w:r>
    </w:p>
  </w:footnote>
  <w:footnote w:id="35">
    <w:p w14:paraId="7BFA8C6D" w14:textId="2DE739E6" w:rsidR="00777747" w:rsidRPr="00937B78" w:rsidRDefault="00777747" w:rsidP="00E41060">
      <w:pPr>
        <w:pStyle w:val="FootnoteText"/>
        <w:rPr>
          <w:rFonts w:ascii="Arial" w:hAnsi="Arial" w:cs="Arial"/>
        </w:rPr>
      </w:pPr>
      <w:r w:rsidRPr="00937B78">
        <w:rPr>
          <w:rStyle w:val="FootnoteReference"/>
          <w:rFonts w:ascii="Arial" w:hAnsi="Arial" w:cs="Arial"/>
        </w:rPr>
        <w:footnoteRef/>
      </w:r>
      <w:r w:rsidRPr="00937B78">
        <w:rPr>
          <w:rFonts w:ascii="Arial" w:hAnsi="Arial" w:cs="Arial"/>
        </w:rPr>
        <w:t xml:space="preserve"> </w:t>
      </w:r>
      <w:r w:rsidR="003D015F" w:rsidRPr="00937B78">
        <w:rPr>
          <w:rFonts w:ascii="Arial" w:hAnsi="Arial" w:cs="Arial"/>
        </w:rPr>
        <w:t xml:space="preserve">Gary E. Marchant, Braden R. Allenby, Joseph R. Herkert, </w:t>
      </w:r>
      <w:r w:rsidR="00E41060" w:rsidRPr="00937B78">
        <w:rPr>
          <w:rFonts w:ascii="Arial" w:hAnsi="Arial" w:cs="Arial"/>
          <w:i/>
          <w:iCs/>
        </w:rPr>
        <w:t>The Growing Gap Between Emerging Technologies and Legal-Ethical Oversight The Pacing Problem</w:t>
      </w:r>
      <w:r w:rsidR="00E41060" w:rsidRPr="00937B78">
        <w:rPr>
          <w:rFonts w:ascii="Arial" w:hAnsi="Arial" w:cs="Arial"/>
        </w:rPr>
        <w:t xml:space="preserve"> (</w:t>
      </w:r>
      <w:r w:rsidR="00AD47D5" w:rsidRPr="00937B78">
        <w:rPr>
          <w:rFonts w:ascii="Arial" w:hAnsi="Arial" w:cs="Arial"/>
        </w:rPr>
        <w:t xml:space="preserve">1SR EDN, Springer 2011). </w:t>
      </w:r>
    </w:p>
  </w:footnote>
  <w:footnote w:id="36">
    <w:p w14:paraId="6FD44715" w14:textId="677D7915" w:rsidR="00BF429D" w:rsidRPr="00937B78" w:rsidRDefault="00BF429D" w:rsidP="007201E8">
      <w:pPr>
        <w:pStyle w:val="FootnoteText"/>
        <w:rPr>
          <w:rFonts w:ascii="Arial" w:hAnsi="Arial" w:cs="Arial"/>
        </w:rPr>
      </w:pPr>
      <w:r w:rsidRPr="00937B78">
        <w:rPr>
          <w:rStyle w:val="FootnoteReference"/>
          <w:rFonts w:ascii="Arial" w:hAnsi="Arial" w:cs="Arial"/>
        </w:rPr>
        <w:footnoteRef/>
      </w:r>
      <w:r w:rsidRPr="00937B78">
        <w:rPr>
          <w:rFonts w:ascii="Arial" w:hAnsi="Arial" w:cs="Arial"/>
        </w:rPr>
        <w:t xml:space="preserve"> </w:t>
      </w:r>
      <w:hyperlink r:id="rId14" w:history="1">
        <w:r w:rsidR="007201E8" w:rsidRPr="00937B78">
          <w:rPr>
            <w:rStyle w:val="Hyperlink"/>
            <w:rFonts w:ascii="Arial" w:hAnsi="Arial" w:cs="Arial"/>
          </w:rPr>
          <w:t>Proposal For A Regulation Of The European Parliament And Of The Council Laying Down Harmonised Rules On Artificial Intelligence (Artificial Intelligence Act) And Amending Certain Union Legislative Acts Com/2021/206</w:t>
        </w:r>
      </w:hyperlink>
    </w:p>
  </w:footnote>
  <w:footnote w:id="37">
    <w:p w14:paraId="3D1C041F" w14:textId="26EC7E72" w:rsidR="00026295" w:rsidRPr="00937B78" w:rsidRDefault="00026295">
      <w:pPr>
        <w:pStyle w:val="FootnoteText"/>
        <w:rPr>
          <w:rFonts w:ascii="Arial" w:hAnsi="Arial" w:cs="Arial"/>
          <w:lang w:val="en-GB"/>
        </w:rPr>
      </w:pPr>
      <w:r w:rsidRPr="00937B78">
        <w:rPr>
          <w:rStyle w:val="FootnoteReference"/>
          <w:rFonts w:ascii="Arial" w:hAnsi="Arial" w:cs="Arial"/>
        </w:rPr>
        <w:footnoteRef/>
      </w:r>
      <w:r w:rsidRPr="00937B78">
        <w:rPr>
          <w:rFonts w:ascii="Arial" w:hAnsi="Arial" w:cs="Arial"/>
        </w:rPr>
        <w:t xml:space="preserve"> </w:t>
      </w:r>
      <w:r w:rsidR="00F00E9A" w:rsidRPr="00937B78">
        <w:rPr>
          <w:rFonts w:ascii="Arial" w:hAnsi="Arial" w:cs="Arial"/>
        </w:rPr>
        <w:t>Michael Gyrnbaum and Ryan Mac</w:t>
      </w:r>
      <w:r w:rsidR="00261F60" w:rsidRPr="00937B78">
        <w:rPr>
          <w:rFonts w:ascii="Arial" w:hAnsi="Arial" w:cs="Arial"/>
          <w:lang w:val="en-GB"/>
        </w:rPr>
        <w:t>,</w:t>
      </w:r>
      <w:r w:rsidR="00F00E9A" w:rsidRPr="00937B78">
        <w:rPr>
          <w:rFonts w:ascii="Arial" w:hAnsi="Arial" w:cs="Arial"/>
          <w:lang w:val="en-GB"/>
        </w:rPr>
        <w:t xml:space="preserve"> ‘The Times Sues OpenAI and Microsoft Over A.I. Use of Copyrighted Work’,</w:t>
      </w:r>
      <w:r w:rsidR="00261F60" w:rsidRPr="00937B78">
        <w:rPr>
          <w:rFonts w:ascii="Arial" w:hAnsi="Arial" w:cs="Arial"/>
          <w:i/>
          <w:iCs/>
          <w:lang w:val="en-GB"/>
        </w:rPr>
        <w:t xml:space="preserve"> New York Times</w:t>
      </w:r>
      <w:r w:rsidR="00261F60" w:rsidRPr="00937B78">
        <w:rPr>
          <w:rFonts w:ascii="Arial" w:hAnsi="Arial" w:cs="Arial"/>
          <w:lang w:val="en-GB"/>
        </w:rPr>
        <w:t xml:space="preserve"> </w:t>
      </w:r>
      <w:r w:rsidR="00F00E9A" w:rsidRPr="00937B78">
        <w:rPr>
          <w:rFonts w:ascii="Arial" w:hAnsi="Arial" w:cs="Arial"/>
          <w:lang w:val="en-GB"/>
        </w:rPr>
        <w:t>27 December 2023.</w:t>
      </w:r>
    </w:p>
  </w:footnote>
  <w:footnote w:id="38">
    <w:p w14:paraId="5AEEE7E7" w14:textId="744E1B15" w:rsidR="007F7749" w:rsidRPr="00937B78" w:rsidRDefault="007F7749" w:rsidP="00F767F8">
      <w:pPr>
        <w:pStyle w:val="FootnoteText"/>
        <w:rPr>
          <w:rFonts w:ascii="Arial" w:hAnsi="Arial" w:cs="Arial"/>
        </w:rPr>
      </w:pPr>
      <w:r w:rsidRPr="00937B78">
        <w:rPr>
          <w:rStyle w:val="FootnoteReference"/>
          <w:rFonts w:ascii="Arial" w:hAnsi="Arial" w:cs="Arial"/>
        </w:rPr>
        <w:footnoteRef/>
      </w:r>
      <w:r w:rsidRPr="00937B78">
        <w:rPr>
          <w:rFonts w:ascii="Arial" w:hAnsi="Arial" w:cs="Arial"/>
        </w:rPr>
        <w:t xml:space="preserve"> </w:t>
      </w:r>
      <w:hyperlink r:id="rId15" w:history="1">
        <w:r w:rsidR="00F767F8" w:rsidRPr="00937B78">
          <w:rPr>
            <w:rStyle w:val="Hyperlink"/>
            <w:rFonts w:ascii="Arial" w:hAnsi="Arial" w:cs="Arial"/>
          </w:rPr>
          <w:t>Regulation (EU) 2022/2065 of the European Parliament and of the Council of 19 October 2022 on a Single Market For Digital Services and amending Directive 2000/31/EC (Digital Services Act) (Text with EEA relevance) PE/30/2022/REV/1 OJ L 277, 27.10.2022</w:t>
        </w:r>
      </w:hyperlink>
    </w:p>
  </w:footnote>
  <w:footnote w:id="39">
    <w:p w14:paraId="43007D99" w14:textId="168424F5" w:rsidR="00913367" w:rsidRPr="00937B78" w:rsidRDefault="00913367" w:rsidP="0028437A">
      <w:pPr>
        <w:pStyle w:val="FootnoteText"/>
        <w:rPr>
          <w:rFonts w:ascii="Arial" w:hAnsi="Arial" w:cs="Arial"/>
        </w:rPr>
      </w:pPr>
      <w:r w:rsidRPr="00937B78">
        <w:rPr>
          <w:rStyle w:val="FootnoteReference"/>
          <w:rFonts w:ascii="Arial" w:hAnsi="Arial" w:cs="Arial"/>
        </w:rPr>
        <w:footnoteRef/>
      </w:r>
      <w:r w:rsidRPr="00937B78">
        <w:rPr>
          <w:rFonts w:ascii="Arial" w:hAnsi="Arial" w:cs="Arial"/>
        </w:rPr>
        <w:t xml:space="preserve"> </w:t>
      </w:r>
      <w:hyperlink r:id="rId16" w:history="1">
        <w:r w:rsidR="0028437A" w:rsidRPr="00937B78">
          <w:rPr>
            <w:rStyle w:val="Hyperlink"/>
            <w:rFonts w:ascii="Arial" w:hAnsi="Arial" w:cs="Arial"/>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(Text with EEA relevance) OJ L 119, 4.5.2016, p. 1–88</w:t>
        </w:r>
      </w:hyperlink>
    </w:p>
  </w:footnote>
  <w:footnote w:id="40">
    <w:p w14:paraId="35196BE2" w14:textId="79B5E5B8" w:rsidR="007F7749" w:rsidRPr="00937B78" w:rsidRDefault="007F7749" w:rsidP="00922FD9">
      <w:pPr>
        <w:pStyle w:val="FootnoteText"/>
        <w:rPr>
          <w:rFonts w:ascii="Arial" w:hAnsi="Arial" w:cs="Arial"/>
        </w:rPr>
      </w:pPr>
      <w:r w:rsidRPr="00937B78">
        <w:rPr>
          <w:rStyle w:val="FootnoteReference"/>
          <w:rFonts w:ascii="Arial" w:hAnsi="Arial" w:cs="Arial"/>
        </w:rPr>
        <w:footnoteRef/>
      </w:r>
      <w:hyperlink r:id="rId17" w:history="1">
        <w:r w:rsidR="00922FD9" w:rsidRPr="00937B78">
          <w:rPr>
            <w:rStyle w:val="Hyperlink"/>
            <w:rFonts w:ascii="Arial" w:hAnsi="Arial" w:cs="Arial"/>
          </w:rPr>
          <w:t>Directive (EU) 2018/1808 of the European Parliament and of the Council of 14 November 2018 amending Directive 2010/13/EU on the coordination of certain provisions laid down by law, regulation or administrative action in Member States concerning the provision of audiovisual media services (Audiovisual Media Services Directive) in view of changing market realities PE/33/2018/REV/1 OJ L 303, 28.11.2018, p. 69–92</w:t>
        </w:r>
      </w:hyperlink>
      <w:r w:rsidR="00922FD9" w:rsidRPr="00937B78">
        <w:rPr>
          <w:rFonts w:ascii="Arial" w:hAnsi="Arial" w:cs="Arial"/>
        </w:rPr>
        <w:t>;</w:t>
      </w:r>
      <w:r w:rsidRPr="00937B78">
        <w:rPr>
          <w:rFonts w:ascii="Arial" w:hAnsi="Arial" w:cs="Arial"/>
        </w:rPr>
        <w:t xml:space="preserve"> </w:t>
      </w:r>
      <w:r w:rsidR="00922FD9" w:rsidRPr="00937B78">
        <w:rPr>
          <w:rFonts w:ascii="Arial" w:hAnsi="Arial" w:cs="Arial"/>
        </w:rPr>
        <w:t xml:space="preserve">See also </w:t>
      </w:r>
      <w:r w:rsidRPr="00937B78">
        <w:rPr>
          <w:rFonts w:ascii="Arial" w:hAnsi="Arial" w:cs="Arial"/>
          <w:lang w:val="en-GB"/>
        </w:rPr>
        <w:t>Daniel Mooney, ‘</w:t>
      </w:r>
      <w:r w:rsidR="00127EFB" w:rsidRPr="00937B78">
        <w:rPr>
          <w:rFonts w:ascii="Arial" w:hAnsi="Arial" w:cs="Arial"/>
          <w:lang w:val="en-GB"/>
        </w:rPr>
        <w:t xml:space="preserve">Media Regulation in Flux: The AVMSD in the </w:t>
      </w:r>
      <w:r w:rsidR="00210684" w:rsidRPr="00937B78">
        <w:rPr>
          <w:rFonts w:ascii="Arial" w:hAnsi="Arial" w:cs="Arial"/>
          <w:lang w:val="en-GB"/>
        </w:rPr>
        <w:t xml:space="preserve">Age of VSPs and Online Content Creation’ (BAI Research Paper Series, </w:t>
      </w:r>
      <w:proofErr w:type="spellStart"/>
      <w:r w:rsidR="00210684" w:rsidRPr="00937B78">
        <w:rPr>
          <w:rFonts w:ascii="Arial" w:hAnsi="Arial" w:cs="Arial"/>
          <w:lang w:val="en-GB"/>
        </w:rPr>
        <w:t>Coimisiún</w:t>
      </w:r>
      <w:proofErr w:type="spellEnd"/>
      <w:r w:rsidR="00210684" w:rsidRPr="00937B78">
        <w:rPr>
          <w:rFonts w:ascii="Arial" w:hAnsi="Arial" w:cs="Arial"/>
          <w:lang w:val="en-GB"/>
        </w:rPr>
        <w:t xml:space="preserve"> </w:t>
      </w:r>
      <w:proofErr w:type="spellStart"/>
      <w:r w:rsidR="00210684" w:rsidRPr="00937B78">
        <w:rPr>
          <w:rFonts w:ascii="Arial" w:hAnsi="Arial" w:cs="Arial"/>
          <w:lang w:val="en-GB"/>
        </w:rPr>
        <w:t>na</w:t>
      </w:r>
      <w:proofErr w:type="spellEnd"/>
      <w:r w:rsidR="00210684" w:rsidRPr="00937B78">
        <w:rPr>
          <w:rFonts w:ascii="Arial" w:hAnsi="Arial" w:cs="Arial"/>
          <w:lang w:val="en-GB"/>
        </w:rPr>
        <w:t xml:space="preserve"> </w:t>
      </w:r>
      <w:proofErr w:type="spellStart"/>
      <w:r w:rsidR="00210684" w:rsidRPr="00937B78">
        <w:rPr>
          <w:rFonts w:ascii="Arial" w:hAnsi="Arial" w:cs="Arial"/>
          <w:lang w:val="en-GB"/>
        </w:rPr>
        <w:t>Meán</w:t>
      </w:r>
      <w:proofErr w:type="spellEnd"/>
      <w:r w:rsidR="00210684" w:rsidRPr="00937B78">
        <w:rPr>
          <w:rFonts w:ascii="Arial" w:hAnsi="Arial" w:cs="Arial"/>
          <w:lang w:val="en-GB"/>
        </w:rPr>
        <w:t xml:space="preserve"> 2022)</w:t>
      </w:r>
      <w:r w:rsidR="00396CA7" w:rsidRPr="00937B78">
        <w:rPr>
          <w:rFonts w:ascii="Arial" w:hAnsi="Arial" w:cs="Arial"/>
          <w:lang w:val="en-GB"/>
        </w:rPr>
        <w:t xml:space="preserve"> &lt;</w:t>
      </w:r>
      <w:r w:rsidR="00F4239F" w:rsidRPr="00937B78">
        <w:rPr>
          <w:rFonts w:ascii="Arial" w:hAnsi="Arial" w:cs="Arial"/>
        </w:rPr>
        <w:t xml:space="preserve"> </w:t>
      </w:r>
      <w:r w:rsidR="00F4239F" w:rsidRPr="00937B78">
        <w:rPr>
          <w:rFonts w:ascii="Arial" w:hAnsi="Arial" w:cs="Arial"/>
          <w:lang w:val="en-GB"/>
        </w:rPr>
        <w:t>https://www.bai.ie/en/download/137417/</w:t>
      </w:r>
      <w:r w:rsidR="00396CA7" w:rsidRPr="00937B78">
        <w:rPr>
          <w:rFonts w:ascii="Arial" w:hAnsi="Arial" w:cs="Arial"/>
          <w:lang w:val="en-GB"/>
        </w:rPr>
        <w:t>&gt; accessed 30 January 2024.</w:t>
      </w:r>
      <w:r w:rsidR="00210684" w:rsidRPr="00937B78">
        <w:rPr>
          <w:rFonts w:ascii="Arial" w:hAnsi="Arial" w:cs="Arial"/>
          <w:lang w:val="en-GB"/>
        </w:rPr>
        <w:t xml:space="preserve">. </w:t>
      </w:r>
    </w:p>
  </w:footnote>
  <w:footnote w:id="41">
    <w:p w14:paraId="0A0F1B12" w14:textId="770717CE" w:rsidR="0024297B" w:rsidRPr="0024297B" w:rsidRDefault="0024297B">
      <w:pPr>
        <w:pStyle w:val="FootnoteText"/>
        <w:rPr>
          <w:lang w:val="en-GB"/>
        </w:rPr>
      </w:pPr>
      <w:r w:rsidRPr="00937B78">
        <w:rPr>
          <w:rStyle w:val="FootnoteReference"/>
          <w:rFonts w:ascii="Arial" w:hAnsi="Arial" w:cs="Arial"/>
        </w:rPr>
        <w:footnoteRef/>
      </w:r>
      <w:r w:rsidRPr="00937B78">
        <w:rPr>
          <w:rFonts w:ascii="Arial" w:hAnsi="Arial" w:cs="Arial"/>
        </w:rPr>
        <w:t xml:space="preserve"> </w:t>
      </w:r>
      <w:r w:rsidR="00BC0AC6" w:rsidRPr="00937B78">
        <w:rPr>
          <w:rFonts w:ascii="Arial" w:hAnsi="Arial" w:cs="Arial"/>
        </w:rPr>
        <w:t>Coimisiún na Meán, ‘</w:t>
      </w:r>
      <w:r w:rsidR="00980CA6" w:rsidRPr="00937B78">
        <w:rPr>
          <w:rFonts w:ascii="Arial" w:hAnsi="Arial" w:cs="Arial"/>
        </w:rPr>
        <w:t>Notice of Designation of Video-Sharing Platform Services as a Category of Relevant Online Services’ (CNAM, 16 January 2024) &lt;</w:t>
      </w:r>
      <w:r w:rsidR="009A4D05" w:rsidRPr="00937B78">
        <w:rPr>
          <w:rFonts w:ascii="Arial" w:hAnsi="Arial" w:cs="Arial"/>
        </w:rPr>
        <w:t xml:space="preserve"> </w:t>
      </w:r>
      <w:hyperlink r:id="rId18" w:history="1">
        <w:r w:rsidR="009A4D05" w:rsidRPr="00937B78">
          <w:rPr>
            <w:rStyle w:val="Hyperlink"/>
            <w:rFonts w:ascii="Arial" w:hAnsi="Arial" w:cs="Arial"/>
          </w:rPr>
          <w:t>https://www.cnam.ie/designation-notices/</w:t>
        </w:r>
      </w:hyperlink>
      <w:r w:rsidR="00980CA6" w:rsidRPr="00937B78">
        <w:rPr>
          <w:rFonts w:ascii="Arial" w:hAnsi="Arial" w:cs="Arial"/>
        </w:rPr>
        <w:t>&gt;</w:t>
      </w:r>
      <w:r w:rsidR="009A4D05" w:rsidRPr="00937B78">
        <w:rPr>
          <w:rFonts w:ascii="Arial" w:hAnsi="Arial" w:cs="Arial"/>
        </w:rPr>
        <w:t xml:space="preserve"> </w:t>
      </w:r>
      <w:r w:rsidR="00980CA6" w:rsidRPr="00937B78">
        <w:rPr>
          <w:rFonts w:ascii="Arial" w:hAnsi="Arial" w:cs="Arial"/>
        </w:rPr>
        <w:t>accessed 30 January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0C193" w14:textId="77777777" w:rsidR="00D75A51" w:rsidRPr="00C960DD" w:rsidRDefault="00D75A51" w:rsidP="00C960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E7006"/>
    <w:multiLevelType w:val="hybridMultilevel"/>
    <w:tmpl w:val="3DEA8CD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14291AC8"/>
    <w:multiLevelType w:val="multilevel"/>
    <w:tmpl w:val="5E9055F6"/>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507064"/>
    <w:multiLevelType w:val="hybridMultilevel"/>
    <w:tmpl w:val="B91ABDD6"/>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208139D7"/>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A70749"/>
    <w:multiLevelType w:val="hybridMultilevel"/>
    <w:tmpl w:val="72D248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59741C5"/>
    <w:multiLevelType w:val="multilevel"/>
    <w:tmpl w:val="F5E4E3AA"/>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lowerRoman"/>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8B0075E"/>
    <w:multiLevelType w:val="hybridMultilevel"/>
    <w:tmpl w:val="A860D3C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ED63DB7"/>
    <w:multiLevelType w:val="hybridMultilevel"/>
    <w:tmpl w:val="BDD2B2F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87F492D"/>
    <w:multiLevelType w:val="hybridMultilevel"/>
    <w:tmpl w:val="459853B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28E2288"/>
    <w:multiLevelType w:val="hybridMultilevel"/>
    <w:tmpl w:val="04A477E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6CB46F9"/>
    <w:multiLevelType w:val="multilevel"/>
    <w:tmpl w:val="F5E4E3AA"/>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lowerRoman"/>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5"/>
  </w:num>
  <w:num w:numId="3">
    <w:abstractNumId w:val="10"/>
  </w:num>
  <w:num w:numId="4">
    <w:abstractNumId w:val="1"/>
  </w:num>
  <w:num w:numId="5">
    <w:abstractNumId w:val="2"/>
  </w:num>
  <w:num w:numId="6">
    <w:abstractNumId w:val="6"/>
  </w:num>
  <w:num w:numId="7">
    <w:abstractNumId w:val="8"/>
  </w:num>
  <w:num w:numId="8">
    <w:abstractNumId w:val="4"/>
  </w:num>
  <w:num w:numId="9">
    <w:abstractNumId w:val="9"/>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6FB"/>
    <w:rsid w:val="000027A0"/>
    <w:rsid w:val="000059AE"/>
    <w:rsid w:val="00006955"/>
    <w:rsid w:val="00026295"/>
    <w:rsid w:val="00031C9D"/>
    <w:rsid w:val="0003626D"/>
    <w:rsid w:val="000420A6"/>
    <w:rsid w:val="0004565C"/>
    <w:rsid w:val="00045757"/>
    <w:rsid w:val="0004670C"/>
    <w:rsid w:val="00052768"/>
    <w:rsid w:val="00060258"/>
    <w:rsid w:val="00060AA7"/>
    <w:rsid w:val="00062B01"/>
    <w:rsid w:val="00063728"/>
    <w:rsid w:val="00064B2C"/>
    <w:rsid w:val="0007760E"/>
    <w:rsid w:val="000808B6"/>
    <w:rsid w:val="0008399F"/>
    <w:rsid w:val="00084B3A"/>
    <w:rsid w:val="0009102D"/>
    <w:rsid w:val="000969C2"/>
    <w:rsid w:val="000B0EA0"/>
    <w:rsid w:val="000B5937"/>
    <w:rsid w:val="000C4680"/>
    <w:rsid w:val="000C4E33"/>
    <w:rsid w:val="000D5F21"/>
    <w:rsid w:val="000D7712"/>
    <w:rsid w:val="00110FD5"/>
    <w:rsid w:val="00122C87"/>
    <w:rsid w:val="00127220"/>
    <w:rsid w:val="00127EFB"/>
    <w:rsid w:val="00135961"/>
    <w:rsid w:val="00147E3D"/>
    <w:rsid w:val="0015523B"/>
    <w:rsid w:val="00165E95"/>
    <w:rsid w:val="00166536"/>
    <w:rsid w:val="00175B5C"/>
    <w:rsid w:val="00176634"/>
    <w:rsid w:val="00177D11"/>
    <w:rsid w:val="00182F35"/>
    <w:rsid w:val="00185D76"/>
    <w:rsid w:val="00187353"/>
    <w:rsid w:val="001879E5"/>
    <w:rsid w:val="001A174F"/>
    <w:rsid w:val="001B2DA7"/>
    <w:rsid w:val="001B3947"/>
    <w:rsid w:val="001B5805"/>
    <w:rsid w:val="001C36C9"/>
    <w:rsid w:val="001C5489"/>
    <w:rsid w:val="001D033F"/>
    <w:rsid w:val="001D4622"/>
    <w:rsid w:val="001E0F35"/>
    <w:rsid w:val="002053CC"/>
    <w:rsid w:val="00210684"/>
    <w:rsid w:val="00214EC0"/>
    <w:rsid w:val="00220B8E"/>
    <w:rsid w:val="00222CFD"/>
    <w:rsid w:val="00225449"/>
    <w:rsid w:val="00241DA6"/>
    <w:rsid w:val="0024297B"/>
    <w:rsid w:val="00243DB7"/>
    <w:rsid w:val="002465A4"/>
    <w:rsid w:val="00254EFC"/>
    <w:rsid w:val="002562A2"/>
    <w:rsid w:val="00261F60"/>
    <w:rsid w:val="00265B6B"/>
    <w:rsid w:val="002730A7"/>
    <w:rsid w:val="002804A7"/>
    <w:rsid w:val="0028437A"/>
    <w:rsid w:val="00284D24"/>
    <w:rsid w:val="0029766D"/>
    <w:rsid w:val="00297CC7"/>
    <w:rsid w:val="002A0ED6"/>
    <w:rsid w:val="002A5296"/>
    <w:rsid w:val="002A5BD7"/>
    <w:rsid w:val="002B2E88"/>
    <w:rsid w:val="002B387C"/>
    <w:rsid w:val="002C3F60"/>
    <w:rsid w:val="002D2523"/>
    <w:rsid w:val="002D4937"/>
    <w:rsid w:val="002D6901"/>
    <w:rsid w:val="002D6AF6"/>
    <w:rsid w:val="002E06B9"/>
    <w:rsid w:val="002E4A39"/>
    <w:rsid w:val="002F64A7"/>
    <w:rsid w:val="002F7609"/>
    <w:rsid w:val="00301C9C"/>
    <w:rsid w:val="00306B15"/>
    <w:rsid w:val="00307B94"/>
    <w:rsid w:val="0031233B"/>
    <w:rsid w:val="0031263A"/>
    <w:rsid w:val="00312E63"/>
    <w:rsid w:val="003168FD"/>
    <w:rsid w:val="0033661F"/>
    <w:rsid w:val="00347610"/>
    <w:rsid w:val="00355996"/>
    <w:rsid w:val="003563F7"/>
    <w:rsid w:val="0036123F"/>
    <w:rsid w:val="00372A56"/>
    <w:rsid w:val="00375357"/>
    <w:rsid w:val="003770A1"/>
    <w:rsid w:val="00381F17"/>
    <w:rsid w:val="00384671"/>
    <w:rsid w:val="00396CA7"/>
    <w:rsid w:val="003A0953"/>
    <w:rsid w:val="003A4F9C"/>
    <w:rsid w:val="003A7DC7"/>
    <w:rsid w:val="003B02C5"/>
    <w:rsid w:val="003B0485"/>
    <w:rsid w:val="003C494A"/>
    <w:rsid w:val="003D015F"/>
    <w:rsid w:val="003E28C1"/>
    <w:rsid w:val="003E2CFB"/>
    <w:rsid w:val="003E4379"/>
    <w:rsid w:val="003F39B7"/>
    <w:rsid w:val="003F74BD"/>
    <w:rsid w:val="003F7F99"/>
    <w:rsid w:val="003F7FC4"/>
    <w:rsid w:val="0040175F"/>
    <w:rsid w:val="004177BD"/>
    <w:rsid w:val="00427B4E"/>
    <w:rsid w:val="004616D5"/>
    <w:rsid w:val="00462FC2"/>
    <w:rsid w:val="00464570"/>
    <w:rsid w:val="00474264"/>
    <w:rsid w:val="00475928"/>
    <w:rsid w:val="00481FBF"/>
    <w:rsid w:val="004827D1"/>
    <w:rsid w:val="0048768E"/>
    <w:rsid w:val="00495D41"/>
    <w:rsid w:val="004A331C"/>
    <w:rsid w:val="004A5198"/>
    <w:rsid w:val="004A51F1"/>
    <w:rsid w:val="004A684F"/>
    <w:rsid w:val="004B50E5"/>
    <w:rsid w:val="004C0967"/>
    <w:rsid w:val="004C27B0"/>
    <w:rsid w:val="004D3D48"/>
    <w:rsid w:val="004E1965"/>
    <w:rsid w:val="004E1B31"/>
    <w:rsid w:val="004E3971"/>
    <w:rsid w:val="004F38B0"/>
    <w:rsid w:val="0050054E"/>
    <w:rsid w:val="005103DE"/>
    <w:rsid w:val="00510F62"/>
    <w:rsid w:val="00514A06"/>
    <w:rsid w:val="0051586B"/>
    <w:rsid w:val="00534FBB"/>
    <w:rsid w:val="00535017"/>
    <w:rsid w:val="00536CA4"/>
    <w:rsid w:val="0054675F"/>
    <w:rsid w:val="00553EDF"/>
    <w:rsid w:val="00574736"/>
    <w:rsid w:val="00593370"/>
    <w:rsid w:val="005A1024"/>
    <w:rsid w:val="005A43CF"/>
    <w:rsid w:val="005A7809"/>
    <w:rsid w:val="005B4609"/>
    <w:rsid w:val="005B7FB1"/>
    <w:rsid w:val="005C7372"/>
    <w:rsid w:val="005D02AA"/>
    <w:rsid w:val="005D05EB"/>
    <w:rsid w:val="005D30AC"/>
    <w:rsid w:val="005E1A00"/>
    <w:rsid w:val="005E4A02"/>
    <w:rsid w:val="005E6586"/>
    <w:rsid w:val="005E6A68"/>
    <w:rsid w:val="005F222D"/>
    <w:rsid w:val="005F7184"/>
    <w:rsid w:val="00603874"/>
    <w:rsid w:val="00607BD1"/>
    <w:rsid w:val="006137FE"/>
    <w:rsid w:val="00633992"/>
    <w:rsid w:val="006548C7"/>
    <w:rsid w:val="00656BE3"/>
    <w:rsid w:val="00660400"/>
    <w:rsid w:val="00666FD5"/>
    <w:rsid w:val="00670983"/>
    <w:rsid w:val="0067274E"/>
    <w:rsid w:val="00672AB2"/>
    <w:rsid w:val="00675862"/>
    <w:rsid w:val="00684B6C"/>
    <w:rsid w:val="006A2E17"/>
    <w:rsid w:val="006A5A06"/>
    <w:rsid w:val="006B0A64"/>
    <w:rsid w:val="006B6195"/>
    <w:rsid w:val="006B6DB8"/>
    <w:rsid w:val="006B7593"/>
    <w:rsid w:val="006B776B"/>
    <w:rsid w:val="006C7DCA"/>
    <w:rsid w:val="006D1FC6"/>
    <w:rsid w:val="006D49BB"/>
    <w:rsid w:val="006E46B8"/>
    <w:rsid w:val="006F25D5"/>
    <w:rsid w:val="007000DC"/>
    <w:rsid w:val="00701967"/>
    <w:rsid w:val="007029D3"/>
    <w:rsid w:val="00703458"/>
    <w:rsid w:val="0071270E"/>
    <w:rsid w:val="007132A2"/>
    <w:rsid w:val="00715A40"/>
    <w:rsid w:val="0071689D"/>
    <w:rsid w:val="007201E8"/>
    <w:rsid w:val="007206FB"/>
    <w:rsid w:val="007319CD"/>
    <w:rsid w:val="00733F00"/>
    <w:rsid w:val="00735978"/>
    <w:rsid w:val="007378AB"/>
    <w:rsid w:val="00743B8D"/>
    <w:rsid w:val="007500A7"/>
    <w:rsid w:val="00753583"/>
    <w:rsid w:val="0076057F"/>
    <w:rsid w:val="00761001"/>
    <w:rsid w:val="00765A7B"/>
    <w:rsid w:val="00765EFF"/>
    <w:rsid w:val="00777747"/>
    <w:rsid w:val="00783614"/>
    <w:rsid w:val="00791C44"/>
    <w:rsid w:val="007972C6"/>
    <w:rsid w:val="007A70BB"/>
    <w:rsid w:val="007B269F"/>
    <w:rsid w:val="007B4AE6"/>
    <w:rsid w:val="007C24CA"/>
    <w:rsid w:val="007C7B55"/>
    <w:rsid w:val="007D08B0"/>
    <w:rsid w:val="007D2F10"/>
    <w:rsid w:val="007D63B7"/>
    <w:rsid w:val="007D653F"/>
    <w:rsid w:val="007D6721"/>
    <w:rsid w:val="007F6386"/>
    <w:rsid w:val="007F7749"/>
    <w:rsid w:val="00801AAF"/>
    <w:rsid w:val="008040FD"/>
    <w:rsid w:val="0080467B"/>
    <w:rsid w:val="00812DF9"/>
    <w:rsid w:val="00817CDA"/>
    <w:rsid w:val="00823183"/>
    <w:rsid w:val="00826593"/>
    <w:rsid w:val="00827575"/>
    <w:rsid w:val="00831004"/>
    <w:rsid w:val="00831EAE"/>
    <w:rsid w:val="008348CF"/>
    <w:rsid w:val="008579F6"/>
    <w:rsid w:val="00860975"/>
    <w:rsid w:val="008679CF"/>
    <w:rsid w:val="0087458D"/>
    <w:rsid w:val="00881385"/>
    <w:rsid w:val="00883903"/>
    <w:rsid w:val="008864D1"/>
    <w:rsid w:val="00886946"/>
    <w:rsid w:val="0089477A"/>
    <w:rsid w:val="008A0B06"/>
    <w:rsid w:val="008A1D68"/>
    <w:rsid w:val="008A5AA6"/>
    <w:rsid w:val="008B2C2D"/>
    <w:rsid w:val="008B4FE4"/>
    <w:rsid w:val="008C7929"/>
    <w:rsid w:val="008D3A52"/>
    <w:rsid w:val="008D7B17"/>
    <w:rsid w:val="008E2279"/>
    <w:rsid w:val="008E4930"/>
    <w:rsid w:val="008F17A8"/>
    <w:rsid w:val="00904B6B"/>
    <w:rsid w:val="00913367"/>
    <w:rsid w:val="0091469C"/>
    <w:rsid w:val="009149AE"/>
    <w:rsid w:val="00914E8A"/>
    <w:rsid w:val="00922FD9"/>
    <w:rsid w:val="009269CE"/>
    <w:rsid w:val="00935863"/>
    <w:rsid w:val="00937B78"/>
    <w:rsid w:val="00943F3C"/>
    <w:rsid w:val="009445F3"/>
    <w:rsid w:val="00951FBC"/>
    <w:rsid w:val="009541B3"/>
    <w:rsid w:val="00962C48"/>
    <w:rsid w:val="00967D54"/>
    <w:rsid w:val="00977078"/>
    <w:rsid w:val="009808DA"/>
    <w:rsid w:val="00980CA6"/>
    <w:rsid w:val="009863D6"/>
    <w:rsid w:val="00991997"/>
    <w:rsid w:val="009A02DF"/>
    <w:rsid w:val="009A4D05"/>
    <w:rsid w:val="009A59DF"/>
    <w:rsid w:val="009B2AD7"/>
    <w:rsid w:val="009B308E"/>
    <w:rsid w:val="009B3DF3"/>
    <w:rsid w:val="009B65ED"/>
    <w:rsid w:val="009C02EE"/>
    <w:rsid w:val="009C2094"/>
    <w:rsid w:val="009D13C0"/>
    <w:rsid w:val="009E188D"/>
    <w:rsid w:val="009E1CB0"/>
    <w:rsid w:val="00A0081D"/>
    <w:rsid w:val="00A06362"/>
    <w:rsid w:val="00A11C42"/>
    <w:rsid w:val="00A1235F"/>
    <w:rsid w:val="00A20CD3"/>
    <w:rsid w:val="00A502A3"/>
    <w:rsid w:val="00A5346F"/>
    <w:rsid w:val="00A55B0C"/>
    <w:rsid w:val="00A55FA8"/>
    <w:rsid w:val="00A65932"/>
    <w:rsid w:val="00A65BBE"/>
    <w:rsid w:val="00A73A33"/>
    <w:rsid w:val="00A80873"/>
    <w:rsid w:val="00A81321"/>
    <w:rsid w:val="00A91EE7"/>
    <w:rsid w:val="00A95F2A"/>
    <w:rsid w:val="00AA1DE7"/>
    <w:rsid w:val="00AA5026"/>
    <w:rsid w:val="00AA5F7F"/>
    <w:rsid w:val="00AD47D5"/>
    <w:rsid w:val="00AD5878"/>
    <w:rsid w:val="00AE57B8"/>
    <w:rsid w:val="00AE61E9"/>
    <w:rsid w:val="00AE6A1E"/>
    <w:rsid w:val="00AF6F81"/>
    <w:rsid w:val="00B065BE"/>
    <w:rsid w:val="00B126A5"/>
    <w:rsid w:val="00B2476E"/>
    <w:rsid w:val="00B35587"/>
    <w:rsid w:val="00B36773"/>
    <w:rsid w:val="00B50496"/>
    <w:rsid w:val="00B53B68"/>
    <w:rsid w:val="00B543E5"/>
    <w:rsid w:val="00B62AB8"/>
    <w:rsid w:val="00B65A61"/>
    <w:rsid w:val="00B73000"/>
    <w:rsid w:val="00B75031"/>
    <w:rsid w:val="00B85986"/>
    <w:rsid w:val="00BA0EB0"/>
    <w:rsid w:val="00BB119B"/>
    <w:rsid w:val="00BB44A2"/>
    <w:rsid w:val="00BC0AC6"/>
    <w:rsid w:val="00BC570C"/>
    <w:rsid w:val="00BC6D7A"/>
    <w:rsid w:val="00BD1837"/>
    <w:rsid w:val="00BD33CA"/>
    <w:rsid w:val="00BE00E1"/>
    <w:rsid w:val="00BE51E8"/>
    <w:rsid w:val="00BF429D"/>
    <w:rsid w:val="00BF62BE"/>
    <w:rsid w:val="00C015D1"/>
    <w:rsid w:val="00C04457"/>
    <w:rsid w:val="00C05926"/>
    <w:rsid w:val="00C16723"/>
    <w:rsid w:val="00C20E9F"/>
    <w:rsid w:val="00C37BC7"/>
    <w:rsid w:val="00C52916"/>
    <w:rsid w:val="00C539C7"/>
    <w:rsid w:val="00C55C03"/>
    <w:rsid w:val="00C65625"/>
    <w:rsid w:val="00C75E75"/>
    <w:rsid w:val="00C960DD"/>
    <w:rsid w:val="00CA4F08"/>
    <w:rsid w:val="00CB4F50"/>
    <w:rsid w:val="00CB5AB6"/>
    <w:rsid w:val="00CC2949"/>
    <w:rsid w:val="00CD4316"/>
    <w:rsid w:val="00CD5ED7"/>
    <w:rsid w:val="00CE75A4"/>
    <w:rsid w:val="00CF503C"/>
    <w:rsid w:val="00CF71E4"/>
    <w:rsid w:val="00D153F5"/>
    <w:rsid w:val="00D16C20"/>
    <w:rsid w:val="00D33284"/>
    <w:rsid w:val="00D402ED"/>
    <w:rsid w:val="00D41885"/>
    <w:rsid w:val="00D42CE3"/>
    <w:rsid w:val="00D45FBD"/>
    <w:rsid w:val="00D647EE"/>
    <w:rsid w:val="00D64898"/>
    <w:rsid w:val="00D75A51"/>
    <w:rsid w:val="00D82263"/>
    <w:rsid w:val="00D8314B"/>
    <w:rsid w:val="00D850F6"/>
    <w:rsid w:val="00D95711"/>
    <w:rsid w:val="00DA3FA2"/>
    <w:rsid w:val="00DB4B38"/>
    <w:rsid w:val="00DC764F"/>
    <w:rsid w:val="00DD00F8"/>
    <w:rsid w:val="00DD626F"/>
    <w:rsid w:val="00DE6C29"/>
    <w:rsid w:val="00DF0056"/>
    <w:rsid w:val="00E0270F"/>
    <w:rsid w:val="00E1039A"/>
    <w:rsid w:val="00E11A4E"/>
    <w:rsid w:val="00E24BC9"/>
    <w:rsid w:val="00E25CFA"/>
    <w:rsid w:val="00E2776D"/>
    <w:rsid w:val="00E278FF"/>
    <w:rsid w:val="00E30522"/>
    <w:rsid w:val="00E324C0"/>
    <w:rsid w:val="00E326B0"/>
    <w:rsid w:val="00E34B9F"/>
    <w:rsid w:val="00E41060"/>
    <w:rsid w:val="00E4322D"/>
    <w:rsid w:val="00E44112"/>
    <w:rsid w:val="00E52E20"/>
    <w:rsid w:val="00E56DD0"/>
    <w:rsid w:val="00E6654E"/>
    <w:rsid w:val="00E67BFA"/>
    <w:rsid w:val="00E74BCB"/>
    <w:rsid w:val="00E77CCE"/>
    <w:rsid w:val="00E833C3"/>
    <w:rsid w:val="00E86FD2"/>
    <w:rsid w:val="00E967E3"/>
    <w:rsid w:val="00EA4FD0"/>
    <w:rsid w:val="00EC23BA"/>
    <w:rsid w:val="00EC3251"/>
    <w:rsid w:val="00EC339C"/>
    <w:rsid w:val="00EC6458"/>
    <w:rsid w:val="00ED7EA1"/>
    <w:rsid w:val="00EE5C92"/>
    <w:rsid w:val="00EF58F5"/>
    <w:rsid w:val="00EF7AF2"/>
    <w:rsid w:val="00F00E9A"/>
    <w:rsid w:val="00F04A09"/>
    <w:rsid w:val="00F16715"/>
    <w:rsid w:val="00F339C9"/>
    <w:rsid w:val="00F37428"/>
    <w:rsid w:val="00F4239F"/>
    <w:rsid w:val="00F514A2"/>
    <w:rsid w:val="00F52959"/>
    <w:rsid w:val="00F56249"/>
    <w:rsid w:val="00F56FC2"/>
    <w:rsid w:val="00F707AE"/>
    <w:rsid w:val="00F7236C"/>
    <w:rsid w:val="00F74360"/>
    <w:rsid w:val="00F744C4"/>
    <w:rsid w:val="00F767F8"/>
    <w:rsid w:val="00F80D3B"/>
    <w:rsid w:val="00F83A89"/>
    <w:rsid w:val="00F93C3F"/>
    <w:rsid w:val="00F96225"/>
    <w:rsid w:val="00FA1006"/>
    <w:rsid w:val="00FA3C5D"/>
    <w:rsid w:val="00FA7B76"/>
    <w:rsid w:val="00FB07AD"/>
    <w:rsid w:val="00FB111A"/>
    <w:rsid w:val="00FB68E1"/>
    <w:rsid w:val="00FC4310"/>
    <w:rsid w:val="00FD225C"/>
    <w:rsid w:val="00FF0578"/>
    <w:rsid w:val="00FF32A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214675"/>
  <w15:docId w15:val="{08662E1D-34D6-468C-ACB1-720D50737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Theme="minorHAnsi" w:hAnsi="Palatino Linotype" w:cstheme="minorBidi"/>
        <w:sz w:val="24"/>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65ED"/>
    <w:pPr>
      <w:spacing w:after="80" w:line="240" w:lineRule="auto"/>
    </w:pPr>
    <w:rPr>
      <w:rFonts w:ascii="Verdana" w:hAnsi="Verdana"/>
    </w:rPr>
  </w:style>
  <w:style w:type="paragraph" w:styleId="Heading1">
    <w:name w:val="heading 1"/>
    <w:basedOn w:val="Normal"/>
    <w:next w:val="Normal"/>
    <w:link w:val="Heading1Char"/>
    <w:uiPriority w:val="9"/>
    <w:qFormat/>
    <w:rsid w:val="007500A7"/>
    <w:pPr>
      <w:ind w:left="360"/>
      <w:outlineLvl w:val="0"/>
    </w:pPr>
    <w:rPr>
      <w:rFonts w:cs="Times New Roman"/>
      <w:color w:val="4472C4" w:themeColor="accent1"/>
      <w:sz w:val="44"/>
      <w:szCs w:val="44"/>
      <w:lang w:val="en-US"/>
    </w:rPr>
  </w:style>
  <w:style w:type="paragraph" w:styleId="Heading2">
    <w:name w:val="heading 2"/>
    <w:basedOn w:val="Normal"/>
    <w:next w:val="Normal"/>
    <w:link w:val="Heading2Char"/>
    <w:uiPriority w:val="9"/>
    <w:unhideWhenUsed/>
    <w:qFormat/>
    <w:rsid w:val="007500A7"/>
    <w:pPr>
      <w:keepNext/>
      <w:keepLines/>
      <w:spacing w:before="40" w:after="0"/>
      <w:jc w:val="center"/>
      <w:outlineLvl w:val="1"/>
    </w:pPr>
    <w:rPr>
      <w:rFonts w:eastAsiaTheme="majorEastAsia" w:cstheme="majorBidi"/>
      <w:color w:val="2F5496" w:themeColor="accent1" w:themeShade="BF"/>
      <w:sz w:val="36"/>
      <w:szCs w:val="36"/>
      <w:lang w:val="en-US"/>
    </w:rPr>
  </w:style>
  <w:style w:type="paragraph" w:styleId="Heading3">
    <w:name w:val="heading 3"/>
    <w:basedOn w:val="Normal"/>
    <w:next w:val="Normal"/>
    <w:link w:val="Heading3Char"/>
    <w:uiPriority w:val="9"/>
    <w:unhideWhenUsed/>
    <w:qFormat/>
    <w:rsid w:val="0007760E"/>
    <w:pPr>
      <w:keepNext/>
      <w:keepLines/>
      <w:spacing w:before="40" w:after="0"/>
      <w:jc w:val="center"/>
      <w:outlineLvl w:val="2"/>
    </w:pPr>
    <w:rPr>
      <w:rFonts w:eastAsiaTheme="majorEastAsia" w:cstheme="majorBidi"/>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0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06FB"/>
    <w:pPr>
      <w:tabs>
        <w:tab w:val="center" w:pos="4513"/>
        <w:tab w:val="right" w:pos="9026"/>
      </w:tabs>
      <w:spacing w:after="0"/>
    </w:pPr>
  </w:style>
  <w:style w:type="character" w:customStyle="1" w:styleId="HeaderChar">
    <w:name w:val="Header Char"/>
    <w:basedOn w:val="DefaultParagraphFont"/>
    <w:link w:val="Header"/>
    <w:uiPriority w:val="99"/>
    <w:rsid w:val="007206FB"/>
  </w:style>
  <w:style w:type="paragraph" w:styleId="Footer">
    <w:name w:val="footer"/>
    <w:basedOn w:val="Normal"/>
    <w:link w:val="FooterChar"/>
    <w:uiPriority w:val="99"/>
    <w:unhideWhenUsed/>
    <w:rsid w:val="007206FB"/>
    <w:pPr>
      <w:tabs>
        <w:tab w:val="center" w:pos="4513"/>
        <w:tab w:val="right" w:pos="9026"/>
      </w:tabs>
      <w:spacing w:after="0"/>
    </w:pPr>
  </w:style>
  <w:style w:type="character" w:customStyle="1" w:styleId="FooterChar">
    <w:name w:val="Footer Char"/>
    <w:basedOn w:val="DefaultParagraphFont"/>
    <w:link w:val="Footer"/>
    <w:uiPriority w:val="99"/>
    <w:rsid w:val="007206FB"/>
  </w:style>
  <w:style w:type="paragraph" w:styleId="NoSpacing">
    <w:name w:val="No Spacing"/>
    <w:uiPriority w:val="1"/>
    <w:qFormat/>
    <w:rsid w:val="00603874"/>
    <w:pPr>
      <w:spacing w:after="0" w:line="240" w:lineRule="auto"/>
    </w:pPr>
  </w:style>
  <w:style w:type="table" w:styleId="GridTable2-Accent1">
    <w:name w:val="Grid Table 2 Accent 1"/>
    <w:basedOn w:val="TableNormal"/>
    <w:uiPriority w:val="47"/>
    <w:rsid w:val="00D75A51"/>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KIFtabletext">
    <w:name w:val="KIF table text"/>
    <w:basedOn w:val="Normal"/>
    <w:link w:val="KIFtabletextChar"/>
    <w:qFormat/>
    <w:rsid w:val="00D75A51"/>
    <w:pPr>
      <w:spacing w:line="360" w:lineRule="auto"/>
    </w:pPr>
  </w:style>
  <w:style w:type="paragraph" w:customStyle="1" w:styleId="KIFText">
    <w:name w:val="KIF Text"/>
    <w:basedOn w:val="Normal"/>
    <w:link w:val="KIFTextChar"/>
    <w:qFormat/>
    <w:rsid w:val="00D75A51"/>
    <w:pPr>
      <w:spacing w:line="360" w:lineRule="auto"/>
      <w:ind w:left="720" w:hanging="720"/>
    </w:pPr>
    <w:rPr>
      <w:color w:val="FFFFFF" w:themeColor="background1"/>
      <w:sz w:val="18"/>
      <w:szCs w:val="18"/>
    </w:rPr>
  </w:style>
  <w:style w:type="character" w:customStyle="1" w:styleId="KIFtabletextChar">
    <w:name w:val="KIF table text Char"/>
    <w:basedOn w:val="DefaultParagraphFont"/>
    <w:link w:val="KIFtabletext"/>
    <w:rsid w:val="00D75A51"/>
  </w:style>
  <w:style w:type="character" w:customStyle="1" w:styleId="KIFTextChar">
    <w:name w:val="KIF Text Char"/>
    <w:basedOn w:val="DefaultParagraphFont"/>
    <w:link w:val="KIFText"/>
    <w:rsid w:val="00D75A51"/>
    <w:rPr>
      <w:color w:val="FFFFFF" w:themeColor="background1"/>
      <w:sz w:val="18"/>
      <w:szCs w:val="18"/>
    </w:rPr>
  </w:style>
  <w:style w:type="character" w:customStyle="1" w:styleId="Heading1Char">
    <w:name w:val="Heading 1 Char"/>
    <w:basedOn w:val="DefaultParagraphFont"/>
    <w:link w:val="Heading1"/>
    <w:uiPriority w:val="9"/>
    <w:rsid w:val="007500A7"/>
    <w:rPr>
      <w:rFonts w:cs="Times New Roman"/>
      <w:color w:val="4472C4" w:themeColor="accent1"/>
      <w:sz w:val="44"/>
      <w:szCs w:val="44"/>
      <w:lang w:val="en-US"/>
    </w:rPr>
  </w:style>
  <w:style w:type="character" w:customStyle="1" w:styleId="Heading2Char">
    <w:name w:val="Heading 2 Char"/>
    <w:basedOn w:val="DefaultParagraphFont"/>
    <w:link w:val="Heading2"/>
    <w:uiPriority w:val="9"/>
    <w:rsid w:val="007500A7"/>
    <w:rPr>
      <w:rFonts w:eastAsiaTheme="majorEastAsia" w:cstheme="majorBidi"/>
      <w:color w:val="2F5496" w:themeColor="accent1" w:themeShade="BF"/>
      <w:sz w:val="36"/>
      <w:szCs w:val="36"/>
      <w:lang w:val="en-US"/>
    </w:rPr>
  </w:style>
  <w:style w:type="character" w:customStyle="1" w:styleId="Heading3Char">
    <w:name w:val="Heading 3 Char"/>
    <w:basedOn w:val="DefaultParagraphFont"/>
    <w:link w:val="Heading3"/>
    <w:uiPriority w:val="9"/>
    <w:rsid w:val="0007760E"/>
    <w:rPr>
      <w:rFonts w:eastAsiaTheme="majorEastAsia" w:cstheme="majorBidi"/>
      <w:sz w:val="28"/>
      <w:szCs w:val="24"/>
      <w:lang w:val="en-US"/>
    </w:rPr>
  </w:style>
  <w:style w:type="paragraph" w:styleId="ListParagraph">
    <w:name w:val="List Paragraph"/>
    <w:basedOn w:val="Normal"/>
    <w:uiPriority w:val="34"/>
    <w:qFormat/>
    <w:rsid w:val="00675862"/>
    <w:pPr>
      <w:ind w:left="720"/>
      <w:contextualSpacing/>
    </w:pPr>
  </w:style>
  <w:style w:type="paragraph" w:customStyle="1" w:styleId="Details">
    <w:name w:val="Details"/>
    <w:basedOn w:val="Normal"/>
    <w:link w:val="DetailsChar"/>
    <w:qFormat/>
    <w:rsid w:val="00C75E75"/>
    <w:pPr>
      <w:jc w:val="right"/>
    </w:pPr>
  </w:style>
  <w:style w:type="character" w:customStyle="1" w:styleId="DetailsChar">
    <w:name w:val="Details Char"/>
    <w:basedOn w:val="DefaultParagraphFont"/>
    <w:link w:val="Details"/>
    <w:rsid w:val="00C75E75"/>
  </w:style>
  <w:style w:type="paragraph" w:styleId="BalloonText">
    <w:name w:val="Balloon Text"/>
    <w:basedOn w:val="Normal"/>
    <w:link w:val="BalloonTextChar"/>
    <w:uiPriority w:val="99"/>
    <w:semiHidden/>
    <w:unhideWhenUsed/>
    <w:rsid w:val="000C468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680"/>
    <w:rPr>
      <w:rFonts w:ascii="Segoe UI" w:hAnsi="Segoe UI" w:cs="Segoe UI"/>
      <w:sz w:val="18"/>
      <w:szCs w:val="18"/>
    </w:rPr>
  </w:style>
  <w:style w:type="character" w:styleId="Hyperlink">
    <w:name w:val="Hyperlink"/>
    <w:basedOn w:val="DefaultParagraphFont"/>
    <w:uiPriority w:val="99"/>
    <w:unhideWhenUsed/>
    <w:rsid w:val="00B65A61"/>
    <w:rPr>
      <w:color w:val="0563C1" w:themeColor="hyperlink"/>
      <w:u w:val="single"/>
    </w:rPr>
  </w:style>
  <w:style w:type="paragraph" w:styleId="Quote">
    <w:name w:val="Quote"/>
    <w:basedOn w:val="Normal"/>
    <w:next w:val="Normal"/>
    <w:link w:val="QuoteChar"/>
    <w:uiPriority w:val="29"/>
    <w:qFormat/>
    <w:rsid w:val="00B65A61"/>
    <w:pPr>
      <w:spacing w:after="120" w:line="360" w:lineRule="auto"/>
      <w:ind w:left="862"/>
    </w:pPr>
    <w:rPr>
      <w:iCs/>
    </w:rPr>
  </w:style>
  <w:style w:type="character" w:customStyle="1" w:styleId="QuoteChar">
    <w:name w:val="Quote Char"/>
    <w:basedOn w:val="DefaultParagraphFont"/>
    <w:link w:val="Quote"/>
    <w:uiPriority w:val="29"/>
    <w:rsid w:val="00B65A61"/>
    <w:rPr>
      <w:rFonts w:ascii="Verdana" w:hAnsi="Verdana"/>
      <w:iCs/>
    </w:rPr>
  </w:style>
  <w:style w:type="character" w:styleId="UnresolvedMention">
    <w:name w:val="Unresolved Mention"/>
    <w:basedOn w:val="DefaultParagraphFont"/>
    <w:uiPriority w:val="99"/>
    <w:semiHidden/>
    <w:unhideWhenUsed/>
    <w:rsid w:val="00A1235F"/>
    <w:rPr>
      <w:color w:val="605E5C"/>
      <w:shd w:val="clear" w:color="auto" w:fill="E1DFDD"/>
    </w:rPr>
  </w:style>
  <w:style w:type="character" w:styleId="CommentReference">
    <w:name w:val="annotation reference"/>
    <w:basedOn w:val="DefaultParagraphFont"/>
    <w:uiPriority w:val="99"/>
    <w:semiHidden/>
    <w:unhideWhenUsed/>
    <w:rsid w:val="002B387C"/>
    <w:rPr>
      <w:sz w:val="16"/>
      <w:szCs w:val="16"/>
    </w:rPr>
  </w:style>
  <w:style w:type="paragraph" w:styleId="CommentText">
    <w:name w:val="annotation text"/>
    <w:basedOn w:val="Normal"/>
    <w:link w:val="CommentTextChar"/>
    <w:uiPriority w:val="99"/>
    <w:unhideWhenUsed/>
    <w:rsid w:val="002B387C"/>
    <w:pPr>
      <w:spacing w:after="160"/>
    </w:pPr>
    <w:rPr>
      <w:rFonts w:asciiTheme="minorHAnsi" w:hAnsiTheme="minorHAnsi"/>
      <w:sz w:val="20"/>
      <w:szCs w:val="20"/>
    </w:rPr>
  </w:style>
  <w:style w:type="character" w:customStyle="1" w:styleId="CommentTextChar">
    <w:name w:val="Comment Text Char"/>
    <w:basedOn w:val="DefaultParagraphFont"/>
    <w:link w:val="CommentText"/>
    <w:uiPriority w:val="99"/>
    <w:rsid w:val="002B387C"/>
    <w:rPr>
      <w:rFonts w:asciiTheme="minorHAnsi" w:hAnsiTheme="minorHAnsi"/>
      <w:sz w:val="20"/>
      <w:szCs w:val="20"/>
    </w:rPr>
  </w:style>
  <w:style w:type="paragraph" w:styleId="FootnoteText">
    <w:name w:val="footnote text"/>
    <w:basedOn w:val="Normal"/>
    <w:link w:val="FootnoteTextChar"/>
    <w:uiPriority w:val="99"/>
    <w:unhideWhenUsed/>
    <w:rsid w:val="00761001"/>
    <w:pPr>
      <w:spacing w:after="0"/>
    </w:pPr>
    <w:rPr>
      <w:sz w:val="20"/>
      <w:szCs w:val="20"/>
    </w:rPr>
  </w:style>
  <w:style w:type="character" w:customStyle="1" w:styleId="FootnoteTextChar">
    <w:name w:val="Footnote Text Char"/>
    <w:basedOn w:val="DefaultParagraphFont"/>
    <w:link w:val="FootnoteText"/>
    <w:uiPriority w:val="99"/>
    <w:rsid w:val="00761001"/>
    <w:rPr>
      <w:rFonts w:ascii="Verdana" w:hAnsi="Verdana"/>
      <w:sz w:val="20"/>
      <w:szCs w:val="20"/>
    </w:rPr>
  </w:style>
  <w:style w:type="character" w:styleId="FootnoteReference">
    <w:name w:val="footnote reference"/>
    <w:basedOn w:val="DefaultParagraphFont"/>
    <w:uiPriority w:val="99"/>
    <w:semiHidden/>
    <w:unhideWhenUsed/>
    <w:rsid w:val="00761001"/>
    <w:rPr>
      <w:vertAlign w:val="superscript"/>
    </w:rPr>
  </w:style>
  <w:style w:type="paragraph" w:styleId="Revision">
    <w:name w:val="Revision"/>
    <w:hidden/>
    <w:uiPriority w:val="99"/>
    <w:semiHidden/>
    <w:rsid w:val="00943F3C"/>
    <w:pPr>
      <w:spacing w:after="0" w:line="240" w:lineRule="auto"/>
    </w:pPr>
    <w:rPr>
      <w:rFonts w:ascii="Verdana" w:hAnsi="Verdana"/>
    </w:rPr>
  </w:style>
  <w:style w:type="character" w:styleId="FollowedHyperlink">
    <w:name w:val="FollowedHyperlink"/>
    <w:basedOn w:val="DefaultParagraphFont"/>
    <w:uiPriority w:val="99"/>
    <w:semiHidden/>
    <w:unhideWhenUsed/>
    <w:rsid w:val="00943F3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2D4937"/>
    <w:pPr>
      <w:spacing w:after="80"/>
    </w:pPr>
    <w:rPr>
      <w:rFonts w:ascii="Verdana" w:hAnsi="Verdana"/>
      <w:b/>
      <w:bCs/>
    </w:rPr>
  </w:style>
  <w:style w:type="character" w:customStyle="1" w:styleId="CommentSubjectChar">
    <w:name w:val="Comment Subject Char"/>
    <w:basedOn w:val="CommentTextChar"/>
    <w:link w:val="CommentSubject"/>
    <w:uiPriority w:val="99"/>
    <w:semiHidden/>
    <w:rsid w:val="002D4937"/>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ourts.ie/policy-reports-strategic-plans" TargetMode="External"/><Relationship Id="rId13" Type="http://schemas.openxmlformats.org/officeDocument/2006/relationships/hyperlink" Target="https://eur-lex.europa.eu/legal-content/EN/TXT/?uri=celex%3A32022R206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legal-content/EN/TXT/?uri=celex%3A52021PC020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ilii.org/ew/cases/EWHC/Ch/2022/1723.html" TargetMode="External"/><Relationship Id="rId5" Type="http://schemas.openxmlformats.org/officeDocument/2006/relationships/webSettings" Target="webSettings.xml"/><Relationship Id="rId15" Type="http://schemas.openxmlformats.org/officeDocument/2006/relationships/hyperlink" Target="https://eur-lex.europa.eu/eli/dir/2018/1808/oj" TargetMode="External"/><Relationship Id="rId10" Type="http://schemas.openxmlformats.org/officeDocument/2006/relationships/hyperlink" Target="https://www.courts.ie/rules/substituted-service-0" TargetMode="External"/><Relationship Id="rId4" Type="http://schemas.openxmlformats.org/officeDocument/2006/relationships/settings" Target="settings.xml"/><Relationship Id="rId9" Type="http://schemas.openxmlformats.org/officeDocument/2006/relationships/hyperlink" Target="https://www.courts.ie/acc/alfresco/8adf9153-bfec-4402-9c2b-cc3d51b83da5/The%20Courts%20Service%20Annual%20Report%202022%20FINAL.pdf/pdf" TargetMode="External"/><Relationship Id="rId14" Type="http://schemas.openxmlformats.org/officeDocument/2006/relationships/hyperlink" Target="https://eur-lex.europa.eu/eli/reg/2016/679/oj"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prdsitecore93.azureedge.net/-/media/files/topics/research/technology-access-to-justice-rule-of-law-report.pdf?rev=313f921776ce46d9b28e9bfa1ef65b13&amp;hash=F97398618A38ED6FA8B589A503F7AD3D" TargetMode="External"/><Relationship Id="rId13" Type="http://schemas.openxmlformats.org/officeDocument/2006/relationships/hyperlink" Target="http://icsmlegweb01/alfrescoClient/getnodecontent.ashx?nodeid=fe976ae4-e6ae-4eda-b076-cbd5beed10de&amp;mimeType=application%2fpdf" TargetMode="External"/><Relationship Id="rId18" Type="http://schemas.openxmlformats.org/officeDocument/2006/relationships/hyperlink" Target="https://www.cnam.ie/designation-notices/" TargetMode="External"/><Relationship Id="rId3" Type="http://schemas.openxmlformats.org/officeDocument/2006/relationships/hyperlink" Target="https://courtsservice.cloud.gov.ie/Shared%20Documents/Media%20and%20Newsletters/Strategic%20Plan%202021%20-%202023.pdf" TargetMode="External"/><Relationship Id="rId7" Type="http://schemas.openxmlformats.org/officeDocument/2006/relationships/hyperlink" Target="https://trinityflac.files.wordpress.com/2020/09/flac-technology-and-access-to-justice.pdf" TargetMode="External"/><Relationship Id="rId12" Type="http://schemas.openxmlformats.org/officeDocument/2006/relationships/hyperlink" Target="https://apnews.com/article/artificial-intelligence-chatgpt-fake-case-lawyers-d6ae9fa79d0542db9e1455397aef381c" TargetMode="External"/><Relationship Id="rId17" Type="http://schemas.openxmlformats.org/officeDocument/2006/relationships/hyperlink" Target="https://eur-lex.europa.eu/eli/dir/2018/1808/oj" TargetMode="External"/><Relationship Id="rId2" Type="http://schemas.openxmlformats.org/officeDocument/2006/relationships/hyperlink" Target="https://www.irishtimes.com/news/crime-and-law/courts-service-boss-fears-collapse-of-it-system-1.2443666" TargetMode="External"/><Relationship Id="rId16" Type="http://schemas.openxmlformats.org/officeDocument/2006/relationships/hyperlink" Target="https://eur-lex.europa.eu/eli/reg/2016/679/oj" TargetMode="External"/><Relationship Id="rId1" Type="http://schemas.openxmlformats.org/officeDocument/2006/relationships/hyperlink" Target="https://www.courts.ie/policy-reports-strategic-plans" TargetMode="External"/><Relationship Id="rId6" Type="http://schemas.openxmlformats.org/officeDocument/2006/relationships/hyperlink" Target="https://www.bailii.org/ew/cases/EWHC/Ch/2022/1723.html" TargetMode="External"/><Relationship Id="rId11" Type="http://schemas.openxmlformats.org/officeDocument/2006/relationships/hyperlink" Target="https://www.theguardian.com/technology/2023/sep/15/court-of-appeal-judge-praises-jolly-useful-chatgpt-after-asking-it-for-legal-summary" TargetMode="External"/><Relationship Id="rId5" Type="http://schemas.openxmlformats.org/officeDocument/2006/relationships/hyperlink" Target="https://justis.vlex.com/" TargetMode="External"/><Relationship Id="rId15" Type="http://schemas.openxmlformats.org/officeDocument/2006/relationships/hyperlink" Target="https://eur-lex.europa.eu/legal-content/EN/TXT/?uri=celex%3A32022R2065" TargetMode="External"/><Relationship Id="rId10" Type="http://schemas.openxmlformats.org/officeDocument/2006/relationships/hyperlink" Target="https://arrow.tudublin.ie/cgi/viewcontent.cgi?article=1180&amp;context=creaart" TargetMode="External"/><Relationship Id="rId4" Type="http://schemas.openxmlformats.org/officeDocument/2006/relationships/hyperlink" Target="https://www.courts.ie/acc/alfresco/8adf9153-bfec-4402-9c2b-cc3d51b83da5/The%20Courts%20Service%20Annual%20Report%202022%20FINAL.pdf/pdf" TargetMode="External"/><Relationship Id="rId9" Type="http://schemas.openxmlformats.org/officeDocument/2006/relationships/hyperlink" Target="https://courts.ie/content/launch-new-family-law-information-resource-interactive-360-virtual-tours-funded-public" TargetMode="External"/><Relationship Id="rId14" Type="http://schemas.openxmlformats.org/officeDocument/2006/relationships/hyperlink" Target="https://eur-lex.europa.eu/legal-content/EN/TXT/?uri=celex%3A52021PC02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ACED4-ED1C-4F3F-BC0A-EAA86C5B5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2619</Words>
  <Characters>14929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Mooney</dc:creator>
  <cp:keywords/>
  <dc:description/>
  <cp:lastModifiedBy>Alison Hough</cp:lastModifiedBy>
  <cp:revision>2</cp:revision>
  <dcterms:created xsi:type="dcterms:W3CDTF">2024-02-08T14:20:00Z</dcterms:created>
  <dcterms:modified xsi:type="dcterms:W3CDTF">2024-02-08T14:20:00Z</dcterms:modified>
</cp:coreProperties>
</file>